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6.png" ContentType="image/png"/>
  <Override PartName="/word/media/rId96.png" ContentType="image/png"/>
  <Override PartName="/word/media/rId56.png" ContentType="image/png"/>
  <Override PartName="/word/media/rId60.png" ContentType="image/png"/>
  <Override PartName="/word/media/rId68.png" ContentType="image/png"/>
  <Override PartName="/word/media/rId80.png" ContentType="image/png"/>
  <Override PartName="/word/media/rId72.png" ContentType="image/png"/>
  <Override PartName="/word/media/rId88.png" ContentType="image/png"/>
  <Override PartName="/word/media/rId92.png" ContentType="image/png"/>
  <Override PartName="/word/media/rId84.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jojoelfe/deco_lace_template_matching_manuscript@38fd04b</w:t>
        </w:r>
      </w:hyperlink>
      <w:r>
        <w:t xml:space="preserve"> </w:t>
      </w:r>
      <w:r>
        <w:t xml:space="preserve">on April 14,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 either 200 mesh</w:t>
      </w:r>
      <w:r>
        <w:t xml:space="preserve"> </w:t>
      </w:r>
      <w:r>
        <w:t xml:space="preserve">copper grids, with a sillicone-oxide and 2um holes with a 2um spacing or 200</w:t>
      </w:r>
      <w:r>
        <w:t xml:space="preserve"> </w:t>
      </w:r>
      <w:r>
        <w:t xml:space="preserve">mesh gold grids with a thin gold film and 2 um holes in 2um spacing) were</w:t>
      </w:r>
      <w:r>
        <w:t xml:space="preserve"> </w:t>
      </w:r>
      <w:r>
        <w:t xml:space="preserve">glow-discharged from both sides using a 15 mA for 45s . 3.5 ul of cell</w:t>
      </w:r>
      <w:r>
        <w:t xml:space="preserve"> </w:t>
      </w:r>
      <w:r>
        <w:t xml:space="preserve">suspension was added to grids on the thin-film side and grids were automatically</w:t>
      </w:r>
      <w:r>
        <w:t xml:space="preserve"> </w:t>
      </w:r>
      <w:r>
        <w:t xml:space="preserve">blotted from the back side using a GP2 cryoplunger (Leica) for 8 s and rapidly</w:t>
      </w:r>
      <w:r>
        <w:t xml:space="preserve"> </w:t>
      </w:r>
      <w:r>
        <w:t xml:space="preserve">plunged 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opening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with the 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0.5nA current</w:t>
      </w:r>
    </w:p>
    <w:p>
      <w:pPr>
        <w:numPr>
          <w:ilvl w:val="0"/>
          <w:numId w:val="1002"/>
        </w:numPr>
        <w:pStyle w:val="Compact"/>
      </w:pPr>
      <w:r>
        <w:t xml:space="preserve">Medium milling: 1.8 µm thickness, 0.3nA current, 1.0° overtilt</w:t>
      </w:r>
    </w:p>
    <w:p>
      <w:pPr>
        <w:numPr>
          <w:ilvl w:val="0"/>
          <w:numId w:val="1002"/>
        </w:numPr>
        <w:pStyle w:val="Compact"/>
      </w:pPr>
      <w:r>
        <w:t xml:space="preserve">Fine milling: 1.0 µm tchickness, 0.1nA current, 0.5° overtilt</w:t>
      </w:r>
    </w:p>
    <w:p>
      <w:pPr>
        <w:numPr>
          <w:ilvl w:val="0"/>
          <w:numId w:val="1002"/>
        </w:numPr>
        <w:pStyle w:val="Compact"/>
      </w:pPr>
      <w:r>
        <w:t xml:space="preserve">Finer milling: 700 nm thickness, 0.1nA curent, 0.2° overtilt</w:t>
      </w:r>
    </w:p>
    <w:p>
      <w:pPr>
        <w:numPr>
          <w:ilvl w:val="0"/>
          <w:numId w:val="1002"/>
        </w:numPr>
        <w:pStyle w:val="Compact"/>
      </w:pPr>
      <w:r>
        <w:t xml:space="preserve">Polish 1: 450nm thickness, 50 pA current</w:t>
      </w:r>
    </w:p>
    <w:p>
      <w:pPr>
        <w:numPr>
          <w:ilvl w:val="0"/>
          <w:numId w:val="1002"/>
        </w:numPr>
        <w:pStyle w:val="Compact"/>
      </w:pPr>
      <w:r>
        <w:t xml:space="preserve">Polish 2: 200nm thickness, 30 pA current</w:t>
      </w:r>
    </w:p>
    <w:p>
      <w:pPr>
        <w:pStyle w:val="FirstParagraph"/>
      </w:pPr>
      <w:r>
        <w:t xml:space="preserve">This resulted in 6-8 um wide lamella with</w:t>
      </w:r>
      <w:r>
        <w:t xml:space="preserve"> </w:t>
      </w:r>
      <w:r>
        <w:t xml:space="preserve">150-250nm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Titan TEM (Thermore Fisher) operated at 300 keV</w:t>
      </w:r>
      <w:r>
        <w:t xml:space="preserve"> </w:t>
      </w:r>
      <w:r>
        <w:t xml:space="preserve">and 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 Image/Beam calibration in nanoprobe. Then we</w:t>
      </w:r>
      <w:r>
        <w:t xml:space="preserve"> </w:t>
      </w:r>
      <w:r>
        <w:t xml:space="preserve">set the magnification to a pixel size of 1.76Å and condensed the beam to ~</w:t>
      </w:r>
      <w:r>
        <w:t xml:space="preserve"> </w:t>
      </w:r>
      <w:r>
        <w:t xml:space="preserve">900nm diameter, resulting in the beam being completely visible on the camera.</w:t>
      </w:r>
      <w:r>
        <w:t xml:space="preserve"> </w:t>
      </w:r>
      <w:r>
        <w:t xml:space="preserve">To 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was used to move a square of the cross-grating grid to the eucentric position of</w:t>
      </w:r>
      <w:r>
        <w:t xml:space="preserve"> </w:t>
      </w:r>
      <w:r>
        <w:t xml:space="preserve">the 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w:t>
      </w:r>
      <w:r>
        <w:t xml:space="preserve"> </w:t>
      </w:r>
      <w:r>
        <w:t xml:space="preserve">changed until no fringes were visible. The stage was then moved in Z until</w:t>
      </w:r>
      <w:r>
        <w:t xml:space="preserve"> </w:t>
      </w:r>
      <w:r>
        <w:t xml:space="preserve">images had a apparent defocus of 2 um. The difference in stage Z-position</w:t>
      </w:r>
      <w:r>
        <w:t xml:space="preserve"> </w:t>
      </w:r>
      <w:r>
        <w:t xml:space="preserve">between the eucentric and fringe-free conditions was then used to move other</w:t>
      </w:r>
      <w:r>
        <w:t xml:space="preserve"> </w:t>
      </w:r>
      <w:r>
        <w:t xml:space="preserve">areas into 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Vverview images of each lamella were taken at 2250x magnification</w:t>
      </w:r>
      <w:r>
        <w:t xml:space="preserve"> </w:t>
      </w:r>
      <w:r>
        <w:t xml:space="preserve">(39Å pixel-sixe). The corners of the lamella in the overview image were manually</w:t>
      </w:r>
      <w:r>
        <w:t xml:space="preserve"> </w:t>
      </w:r>
      <w:r>
        <w:t xml:space="preserve">annotated in SerialEM and translated into Beam-Imageshift values using SerialEM</w:t>
      </w:r>
      <w:r>
        <w:t xml:space="preserve"> </w:t>
      </w:r>
      <w:r>
        <w:t xml:space="preserve">calibration. A hexagonal pattern of Beam-Imageshift positions was calculated</w:t>
      </w:r>
      <w:r>
        <w:t xml:space="preserve"> </w:t>
      </w:r>
      <w:r>
        <w:t xml:space="preserve">that covered the area between the four corners in a serpentine way, with a</w:t>
      </w:r>
      <w:r>
        <w:t xml:space="preserve"> </w:t>
      </w:r>
      <w:r>
        <w:t xml:space="preserve">sqrt(3) * 400 nm horizontal spacing and 800 nm vertical spacing. Exposures were</w:t>
      </w:r>
      <w:r>
        <w:t xml:space="preserve"> </w:t>
      </w:r>
      <w:r>
        <w:t xml:space="preserve">then taken at each position with a 30 e/Å2 total dose. After each exposure that</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 A python script implementing</w:t>
      </w:r>
      <w:r>
        <w:t xml:space="preserve"> </w:t>
      </w:r>
      <w:r>
        <w:t xml:space="preserve">this procedure is available at [Link to repo].</w:t>
      </w:r>
    </w:p>
    <w:bookmarkEnd w:id="45"/>
    <w:bookmarkStart w:id="46" w:name="data-pre-processing"/>
    <w:p>
      <w:pPr>
        <w:pStyle w:val="Heading3"/>
      </w:pPr>
      <w:r>
        <w:t xml:space="preserve">Data pre-processing</w:t>
      </w:r>
    </w:p>
    <w:p>
      <w:pPr>
        <w:pStyle w:val="FirstParagraph"/>
      </w:pPr>
      <w:r>
        <w:t xml:space="preserve">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100Å,</w:t>
      </w:r>
      <w:r>
        <w:t xml:space="preserve"> </w:t>
      </w:r>
      <w:r>
        <w:t xml:space="preserve">thresholding the image at 10% of the maximal value and then lowpass filtering</w:t>
      </w:r>
      <w:r>
        <w:t xml:space="preserve"> </w:t>
      </w:r>
      <w:r>
        <w:t xml:space="preserve">the mask at 100Å. This mask was then used to replace un-illuminated area with</w:t>
      </w:r>
      <w:r>
        <w:t xml:space="preserve"> </w:t>
      </w:r>
      <w:r>
        <w:t xml:space="preserve">gaussian noise, with the same mean and standard deviation as the illuminated</w:t>
      </w:r>
      <w:r>
        <w:t xml:space="preserve"> </w:t>
      </w:r>
      <w:r>
        <w:t xml:space="preserve">area. A custom version of the unblur program implementing this procedure is</w:t>
      </w:r>
      <w:r>
        <w:t xml:space="preserve"> </w:t>
      </w:r>
      <w:r>
        <w:t xml:space="preserve">available at (TODO).</w:t>
      </w:r>
      <w:r>
        <w:t xml:space="preserve"> </w:t>
      </w:r>
      <w:r>
        <w:t xml:space="preserve">The contrast-transfer function (CTF) was estimated using ctffind, searching</w:t>
      </w:r>
      <w:r>
        <w:t xml:space="preserve"> </w:t>
      </w:r>
      <w:r>
        <w:t xml:space="preserve">between 0.02 and 2 um defocus.</w:t>
      </w:r>
    </w:p>
    <w:bookmarkEnd w:id="46"/>
    <w:bookmarkStart w:id="47" w:name="dtm"/>
    <w:p>
      <w:pPr>
        <w:pStyle w:val="Heading3"/>
      </w:pPr>
      <w:r>
        <w:t xml:space="preserve">2DTM</w:t>
      </w:r>
    </w:p>
    <w:p>
      <w:pPr>
        <w:pStyle w:val="FirstParagraph"/>
      </w:pPr>
      <w:r>
        <w:t xml:space="preserve">The search template was generated from the cryo-EM structure of the mouse large</w:t>
      </w:r>
      <w:r>
        <w:t xml:space="preserve"> </w:t>
      </w:r>
      <w:r>
        <w:t xml:space="preserve">ribosomal subunit (PDB 6SWA) using the simulate program in cisTEM [cite]. The</w:t>
      </w:r>
      <w:r>
        <w:t xml:space="preserve"> </w:t>
      </w:r>
      <w:r>
        <w:t xml:space="preserve">atomic coordinates corresponding to Epb1 were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angular step in out-of-plane</w:t>
      </w:r>
      <w:r>
        <w:t xml:space="preserve"> </w:t>
      </w:r>
      <w:r>
        <w:t xml:space="preserve">angles and 1.0° in-plane. 11 defocus planes in 20nm steps centered around</w:t>
      </w:r>
      <w:r>
        <w:t xml:space="preserve"> </w:t>
      </w:r>
      <w:r>
        <w:t xml:space="preserve">the defocus estimates by ctffind were searched. Matches were defined as peaks</w:t>
      </w:r>
      <w:r>
        <w:t xml:space="preserve"> </w:t>
      </w:r>
      <w:r>
        <w:t xml:space="preserve">above a threshold of 7.75, which was chosen based on a one false positive per</w:t>
      </w:r>
      <w:r>
        <w:t xml:space="preserve"> </w:t>
      </w:r>
      <w:r>
        <w:t xml:space="preserve">tile criterium [cite].</w:t>
      </w:r>
    </w:p>
    <w:bookmarkEnd w:id="47"/>
    <w:bookmarkStart w:id="48"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6</w:t>
        </w:r>
      </w:hyperlink>
      <w:r>
        <w:t xml:space="preserve">. Initial coordinates of each Tile</w:t>
      </w:r>
      <w:r>
        <w:t xml:space="preserve"> </w:t>
      </w:r>
      <m:oMath>
        <m:r>
          <m:t>i</m:t>
        </m:r>
      </m:oMath>
      <w:r>
        <w:t xml:space="preserve">,</w:t>
      </w:r>
      <w:r>
        <w:t xml:space="preserve"> </w:t>
      </w:r>
      <m:oMath>
        <m:sSub>
          <m:e>
            <m:r>
              <m:rPr>
                <m:nor/>
                <m:sty m:val="b"/>
              </m:rPr>
              <m:t>c</m:t>
            </m:r>
          </m:e>
          <m:sub>
            <m:r>
              <m:t>i</m:t>
            </m:r>
            <m:r>
              <m:t>n</m:t>
            </m:r>
            <m:r>
              <m:t>i</m:t>
            </m:r>
            <m:r>
              <m:t>t</m:t>
            </m:r>
            <m:r>
              <m:rPr>
                <m:sty m:val="p"/>
              </m:rPr>
              <m:t>,</m:t>
            </m:r>
            <m:r>
              <m:t>i</m:t>
            </m:r>
          </m:sub>
        </m:sSub>
      </m:oMath>
      <w:r>
        <w:t xml:space="preserve"> </w:t>
      </w:r>
      <w:r>
        <w:t xml:space="preserve">were derived</w:t>
      </w:r>
      <w:r>
        <w:t xml:space="preserve"> </w:t>
      </w:r>
      <w:r>
        <w:t xml:space="preserve">from the Beam-Image-Shift of the tile</w:t>
      </w:r>
      <w:r>
        <w:t xml:space="preserve"> </w:t>
      </w:r>
      <m:oMath>
        <m:r>
          <m:t>B</m:t>
        </m:r>
        <m:r>
          <m:t>I</m:t>
        </m:r>
        <m:sSub>
          <m:e>
            <m:r>
              <m:t>S</m:t>
            </m:r>
          </m:e>
          <m:sub>
            <m:r>
              <m:t>i</m:t>
            </m:r>
          </m:sub>
        </m:sSub>
      </m:oMath>
      <w:r>
        <w:t xml:space="preserve"> </w:t>
      </w:r>
      <w:r>
        <w:t xml:space="preserve">and the ISToCamera matrix</w:t>
      </w:r>
      <w:r>
        <w:t xml:space="preserve"> </w:t>
      </w:r>
      <m:oMath>
        <m:r>
          <m:rPr>
            <m:sty m:val="b"/>
          </m:rPr>
          <m:t>I</m:t>
        </m:r>
        <m:r>
          <m:rPr>
            <m:sty m:val="b"/>
          </m:rPr>
          <m:t>C</m:t>
        </m:r>
      </m:oMath>
      <w:r>
        <w:t xml:space="preserve">:</w:t>
      </w:r>
    </w:p>
    <w:p>
      <w:pPr>
        <w:pStyle w:val="BodyText"/>
      </w:pPr>
      <m:oMathPara>
        <m:oMathParaPr>
          <m:jc m:val="center"/>
        </m:oMathParaPr>
        <m:oMath>
          <m:sSub>
            <m:e>
              <m:r>
                <m:rPr>
                  <m:nor/>
                  <m:sty m:val="b"/>
                </m:rPr>
                <m:t>c</m:t>
              </m:r>
            </m:e>
            <m:sub>
              <m:r>
                <m:t>i</m:t>
              </m:r>
              <m:r>
                <m:t>n</m:t>
              </m:r>
              <m:r>
                <m:t>i</m:t>
              </m:r>
              <m:r>
                <m:t>t</m:t>
              </m:r>
              <m:r>
                <m:rPr>
                  <m:sty m:val="p"/>
                </m:rPr>
                <m:t>,</m:t>
              </m:r>
              <m:r>
                <m:t>i</m:t>
              </m:r>
            </m:sub>
          </m:sSub>
          <m:r>
            <m:rPr>
              <m:sty m:val="p"/>
            </m:rPr>
            <m:t>=</m:t>
          </m:r>
          <m:r>
            <m:rPr>
              <m:sty m:val="b"/>
            </m:rPr>
            <m:t>I</m:t>
          </m:r>
          <m:r>
            <m:rPr>
              <m:sty m:val="b"/>
            </m:rPr>
            <m:t>C</m:t>
          </m:r>
          <m:r>
            <m:rPr>
              <m:sty m:val="p"/>
            </m:rPr>
            <m:t>⋅</m:t>
          </m:r>
          <m:r>
            <m:t>B</m:t>
          </m:r>
          <m:r>
            <m:t>I</m:t>
          </m:r>
          <m:sSub>
            <m:e>
              <m:r>
                <m:t>S</m:t>
              </m:r>
            </m:e>
            <m:sub>
              <m:r>
                <m:t>i</m:t>
              </m:r>
            </m:sub>
          </m:sSub>
        </m:oMath>
      </m:oMathPara>
    </w:p>
    <w:p>
      <w:pPr>
        <w:pStyle w:val="FirstParagraph"/>
      </w:pPr>
      <w:r>
        <w:t xml:space="preserve">To refine the montage a list of overlapping tile pairs</w:t>
      </w:r>
      <w:r>
        <w:t xml:space="preserve"> </w:t>
      </w:r>
      <m:oMath>
        <m:d>
          <m:dPr>
            <m:begChr m:val="|"/>
            <m:endChr m:val="|"/>
            <m:sepChr m:val=""/>
            <m:grow/>
          </m:dPr>
          <m:e>
            <m:sSub>
              <m:e>
                <m:r>
                  <m:rPr>
                    <m:nor/>
                    <m:sty m:val="b"/>
                  </m:rPr>
                  <m:t>c</m:t>
                </m:r>
              </m:e>
              <m:sub>
                <m:r>
                  <m:t>i</m:t>
                </m:r>
              </m:sub>
            </m:sSub>
            <m:r>
              <m:rPr>
                <m:sty m:val="p"/>
              </m:rPr>
              <m:t>−</m:t>
            </m:r>
            <m:sSub>
              <m:e>
                <m:r>
                  <m:rPr>
                    <m:nor/>
                    <m:sty m:val="b"/>
                  </m:rPr>
                  <m:t>c</m:t>
                </m:r>
              </m:e>
              <m:sub>
                <m:r>
                  <m:t>j</m:t>
                </m:r>
              </m:sub>
            </m:sSub>
          </m:e>
        </m:d>
        <m:r>
          <m:rPr>
            <m:sty m:val="p"/>
          </m:rPr>
          <m:t>&lt;</m:t>
        </m:r>
        <m:r>
          <m:t>900</m:t>
        </m:r>
        <m:r>
          <m:rPr>
            <m:nor/>
            <m:sty m:val="p"/>
          </m:rPr>
          <m:t>nm</m:t>
        </m:r>
      </m:oMath>
      <w:r>
        <w:t xml:space="preserve"> </w:t>
      </w:r>
      <w:r>
        <w:t xml:space="preserve">were compiled and the offsets</w:t>
      </w:r>
      <w:r>
        <w:t xml:space="preserve"> </w:t>
      </w:r>
      <m:oMath>
        <m:sSub>
          <m:e>
            <m:r>
              <m:rPr>
                <m:nor/>
                <m:sty m:val="b"/>
              </m:rPr>
              <m:t>o</m:t>
            </m:r>
          </m:e>
          <m:sub>
            <m:r>
              <m:t>i</m:t>
            </m:r>
            <m:r>
              <m:rPr>
                <m:sty m:val="p"/>
              </m:rPr>
              <m:t>,</m:t>
            </m:r>
            <m:r>
              <m:t>j</m:t>
            </m:r>
          </m:sub>
        </m:sSub>
        <m:r>
          <m:rPr>
            <m:sty m:val="p"/>
          </m:rPr>
          <m:t>=</m:t>
        </m:r>
        <m:sSub>
          <m:e>
            <m:r>
              <m:rPr>
                <m:nor/>
                <m:sty m:val="b"/>
              </m:rPr>
              <m:t>c</m:t>
            </m:r>
          </m:e>
          <m:sub>
            <m:r>
              <m:t>i</m:t>
            </m:r>
          </m:sub>
        </m:sSub>
        <m:r>
          <m:rPr>
            <m:sty m:val="p"/>
          </m:rPr>
          <m:t>−</m:t>
        </m:r>
        <m:sSub>
          <m:e>
            <m:r>
              <m:rPr>
                <m:nor/>
                <m:sty m:val="b"/>
              </m:rPr>
              <m:t>c</m:t>
            </m:r>
          </m:e>
          <m:sub>
            <m:r>
              <m:t>j</m:t>
            </m:r>
          </m:sub>
        </m:sSub>
      </m:oMath>
      <w:r>
        <w:t xml:space="preserve"> </w:t>
      </w:r>
      <w:r>
        <w:t xml:space="preserve">were refined by using a masked</w:t>
      </w:r>
      <w:r>
        <w:t xml:space="preserve"> </w:t>
      </w:r>
      <w:r>
        <w:t xml:space="preserve">cross-correlation of the overlap region as implemented in the scikit-image</w:t>
      </w:r>
      <w:r>
        <w:t xml:space="preserve"> </w:t>
      </w:r>
      <w:r>
        <w:t xml:space="preserve">package [cite]. Refined coordinates were then derived by minimizing the</w:t>
      </w:r>
      <w:r>
        <w:t xml:space="preserve"> </w:t>
      </w:r>
      <w:r>
        <w:t xml:space="preserve">least-deviation of the new offsets and tile positions:</w:t>
      </w:r>
    </w:p>
    <w:p>
      <w:pPr>
        <w:pStyle w:val="BodyText"/>
      </w:pPr>
      <m:oMathPara>
        <m:oMathParaPr>
          <m:jc m:val="center"/>
        </m:oMathParaPr>
        <m:oMath>
          <m:r>
            <m:t>m</m:t>
          </m:r>
          <m:r>
            <m:t>i</m:t>
          </m:r>
          <m:r>
            <m:t>n</m:t>
          </m:r>
          <m:nary>
            <m:naryPr>
              <m:chr m:val="∑"/>
              <m:limLoc m:val="undOvr"/>
              <m:subHide m:val="0"/>
              <m:supHide m:val="1"/>
            </m:naryPr>
            <m:sub>
              <m:r>
                <m:t>p</m:t>
              </m:r>
              <m:r>
                <m:t>a</m:t>
              </m:r>
              <m:r>
                <m:t>i</m:t>
              </m:r>
              <m:r>
                <m:t>r</m:t>
              </m:r>
              <m:r>
                <m:t>s</m:t>
              </m:r>
            </m:sub>
            <m:sup>
              <m:r>
                <m:t>​</m:t>
              </m:r>
            </m:sup>
            <m:e>
              <m:sSup>
                <m:e>
                  <m:d>
                    <m:dPr>
                      <m:begChr m:val="("/>
                      <m:endChr m:val=")"/>
                      <m:sepChr m:val=""/>
                      <m:grow/>
                    </m:dPr>
                    <m:e>
                      <m:sSub>
                        <m:e>
                          <m:r>
                            <m:rPr>
                              <m:nor/>
                              <m:sty m:val="b"/>
                            </m:rPr>
                            <m:t>o</m:t>
                          </m:r>
                        </m:e>
                        <m:sub>
                          <m:r>
                            <m:t>r</m:t>
                          </m:r>
                          <m:r>
                            <m:t>e</m:t>
                          </m:r>
                          <m:r>
                            <m:t>f</m:t>
                          </m:r>
                          <m:r>
                            <m:t>i</m:t>
                          </m:r>
                          <m:r>
                            <m:t>n</m:t>
                          </m:r>
                          <m:r>
                            <m:t>e</m:t>
                          </m:r>
                          <m:r>
                            <m:t>d</m:t>
                          </m:r>
                          <m:r>
                            <m:rPr>
                              <m:sty m:val="p"/>
                            </m:rPr>
                            <m:t>,</m:t>
                          </m:r>
                          <m:r>
                            <m:t>i</m:t>
                          </m:r>
                          <m:r>
                            <m:rPr>
                              <m:sty m:val="p"/>
                            </m:rPr>
                            <m:t>,</m:t>
                          </m:r>
                          <m:r>
                            <m:t>j</m:t>
                          </m:r>
                        </m:sub>
                      </m:sSub>
                      <m:r>
                        <m:rPr>
                          <m:sty m:val="p"/>
                        </m:rPr>
                        <m:t>−</m:t>
                      </m:r>
                      <m:d>
                        <m:dPr>
                          <m:begChr m:val="("/>
                          <m:endChr m:val=")"/>
                          <m:sepChr m:val=""/>
                          <m:grow/>
                        </m:dPr>
                        <m:e>
                          <m:sSub>
                            <m:e>
                              <m:r>
                                <m:rPr>
                                  <m:nor/>
                                  <m:sty m:val="b"/>
                                </m:rPr>
                                <m:t>c</m:t>
                              </m:r>
                            </m:e>
                            <m:sub>
                              <m:r>
                                <m:t>i</m:t>
                              </m:r>
                            </m:sub>
                          </m:sSub>
                          <m:r>
                            <m:rPr>
                              <m:sty m:val="p"/>
                            </m:rPr>
                            <m:t>−</m:t>
                          </m:r>
                          <m:sSub>
                            <m:e>
                              <m:r>
                                <m:rPr>
                                  <m:nor/>
                                  <m:sty m:val="b"/>
                                </m:rPr>
                                <m:t>c</m:t>
                              </m:r>
                            </m:e>
                            <m:sub>
                              <m:r>
                                <m:t>j</m:t>
                              </m:r>
                            </m:sub>
                          </m:sSub>
                        </m:e>
                      </m:d>
                    </m:e>
                  </m:d>
                </m:e>
                <m:sup>
                  <m:r>
                    <m:t>2</m:t>
                  </m:r>
                </m:sup>
              </m:sSup>
            </m:e>
          </m:nary>
        </m:oMath>
      </m:oMathPara>
    </w:p>
    <w:p>
      <w:pPr>
        <w:pStyle w:val="FirstParagraph"/>
      </w:pPr>
      <w:r>
        <w:t xml:space="preserve">using the scipy package [cite]. This refinement was then repeated once more.</w:t>
      </w:r>
    </w:p>
    <w:p>
      <w:pPr>
        <w:pStyle w:val="BodyText"/>
      </w:pPr>
      <w:r>
        <w:t xml:space="preserve">The x,y coordinates of 2DTM match</w:t>
      </w:r>
      <w:r>
        <w:t xml:space="preserve"> </w:t>
      </w:r>
      <m:oMath>
        <m:r>
          <m:t>n</m:t>
        </m:r>
      </m:oMath>
      <w:r>
        <w:t xml:space="preserve"> </w:t>
      </w:r>
      <w:r>
        <w:t xml:space="preserve">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w:t>
      </w:r>
      <w:r>
        <w:t xml:space="preserve"> </w:t>
      </w:r>
      <w:r>
        <w:t xml:space="preserve">transformed into the montage frame by adding 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match was calculated as the sum of the defocus offset</w:t>
      </w:r>
      <w:r>
        <w:t xml:space="preserve"> </w:t>
      </w:r>
      <w:r>
        <w:t xml:space="preserve">for each match, the estimated defocus of the tile, and the nominal defocus of</w:t>
      </w:r>
      <w:r>
        <w:t xml:space="preserve"> </w:t>
      </w:r>
      <w:r>
        <w:t xml:space="preserve">the microscope when the tile was acquired. The python scripts used are available</w:t>
      </w:r>
      <w:r>
        <w:t xml:space="preserve"> </w:t>
      </w:r>
      <w:r>
        <w:t xml:space="preserve">under [repolink].</w:t>
      </w:r>
    </w:p>
    <w:bookmarkEnd w:id="48"/>
    <w:bookmarkEnd w:id="49"/>
    <w:bookmarkStart w:id="54" w:name="results"/>
    <w:p>
      <w:pPr>
        <w:pStyle w:val="Heading2"/>
      </w:pPr>
      <w:r>
        <w:t xml:space="preserve">Results</w:t>
      </w:r>
    </w:p>
    <w:bookmarkStart w:id="50" w:name="Xa79cbe9ef10f213cb9d11b21a8eaab79b44cdf9"/>
    <w:p>
      <w:pPr>
        <w:pStyle w:val="Heading3"/>
      </w:pPr>
      <w:r>
        <w:t xml:space="preserve">2DTM detects large ribosomal subunits in cryo-FIB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w:t>
      </w:r>
      <w:r>
        <w:t xml:space="preserve"> </w:t>
      </w:r>
      <w:hyperlink w:anchor="fig:initmatching">
        <w:r>
          <w:rPr>
            <w:rStyle w:val="Hyperlink"/>
          </w:rPr>
          <w:t xml:space="preserve">1</w:t>
        </w:r>
      </w:hyperlink>
      <w:r>
        <w:t xml:space="preserve">A). We then proceeded to acquire</w:t>
      </w:r>
      <w:r>
        <w:t xml:space="preserve"> </w:t>
      </w:r>
      <w:r>
        <w:t xml:space="preserve">micrographs on this lamella with a defocus of 0.5-1.0 um, 30 e/Å2/s exposure and</w:t>
      </w:r>
      <w:r>
        <w:t xml:space="preserve"> </w:t>
      </w:r>
      <w:r>
        <w:t xml:space="preserve">1.5 Å pixelsize. We manually selected multiple locations in the lamella and</w:t>
      </w:r>
      <w:r>
        <w:t xml:space="preserve"> </w:t>
      </w:r>
      <w:r>
        <w:t xml:space="preserve">acquired micrographs using standard low-dose techniques where focusing is performed on a</w:t>
      </w:r>
      <w:r>
        <w:t xml:space="preserve"> </w:t>
      </w:r>
      <w:r>
        <w:t xml:space="preserve">sacrificial area. The resulting micrographs showed no signs of crystalline ice</w:t>
      </w:r>
      <w:r>
        <w:t xml:space="preserve"> </w:t>
      </w:r>
      <w:r>
        <w:t xml:space="preserve">and smooth bilayered membranes (Fig.</w:t>
      </w:r>
      <w:r>
        <w:t xml:space="preserve"> </w:t>
      </w:r>
      <w:hyperlink w:anchor="fig:initmatching">
        <w:r>
          <w:rPr>
            <w:rStyle w:val="Hyperlink"/>
          </w:rPr>
          <w:t xml:space="preserve">1</w:t>
        </w:r>
      </w:hyperlink>
      <w:r>
        <w:t xml:space="preserve">C,D), indicating successful vitrification.</w:t>
      </w:r>
    </w:p>
    <w:p>
      <w:pPr>
        <w:pStyle w:val="BodyText"/>
      </w:pPr>
      <w:r>
        <w:t xml:space="preserve">We used an atomic model of the 60S mouse ribosomal subunit (6SWA) for 2DTM. In a subset of images the distribution of cross-correlation</w:t>
      </w:r>
      <w:r>
        <w:t xml:space="preserve"> </w:t>
      </w:r>
      <w:r>
        <w:t xml:space="preserve">scores significantly exceeded the distribution expected from non-signifcant</w:t>
      </w:r>
      <w:r>
        <w:t xml:space="preserve"> </w:t>
      </w:r>
      <w:r>
        <w:t xml:space="preserve">matching. In the resulting scaled maximum-intensity maps, clear peaks with SNR</w:t>
      </w:r>
      <w:r>
        <w:t xml:space="preserve"> </w:t>
      </w:r>
      <w:r>
        <w:t xml:space="preserve">thresholds up to 10 were apparent (Fig.</w:t>
      </w:r>
      <w:r>
        <w:t xml:space="preserve"> </w:t>
      </w:r>
      <w:hyperlink w:anchor="fig:initmatching2">
        <w:r>
          <w:rPr>
            <w:rStyle w:val="Hyperlink"/>
          </w:rPr>
          <w:t xml:space="preserve">S1</w:t>
        </w:r>
      </w:hyperlink>
      <w:r>
        <w:t xml:space="preserve">A). By using the</w:t>
      </w:r>
      <w:r>
        <w:t xml:space="preserve"> </w:t>
      </w:r>
      <w:r>
        <w:t xml:space="preserve">criterion described by for thresholding potential matches we found that in</w:t>
      </w:r>
      <w:r>
        <w:t xml:space="preserve"> </w:t>
      </w:r>
      <w:r>
        <w:t xml:space="preserve">images of cytosolic compartments we found evidence of 10-500 ribosomes in the</w:t>
      </w:r>
      <w:r>
        <w:t xml:space="preserve"> </w:t>
      </w:r>
      <w:r>
        <w:t xml:space="preserve">imaged areas (Fig.</w:t>
      </w:r>
      <w:r>
        <w:t xml:space="preserve"> </w:t>
      </w:r>
      <w:hyperlink w:anchor="fig:initmatching">
        <w:r>
          <w:rPr>
            <w:rStyle w:val="Hyperlink"/>
          </w:rPr>
          <w:t xml:space="preserve">1</w:t>
        </w:r>
      </w:hyperlink>
      <w:r>
        <w:t xml:space="preserve">B-E). Notably, we found no matches in images ares corresponding to the</w:t>
      </w:r>
      <w:r>
        <w:t xml:space="preserve"> </w:t>
      </w:r>
      <w:r>
        <w:t xml:space="preserve">nucleus(Fig.</w:t>
      </w:r>
      <w:r>
        <w:t xml:space="preserve"> </w:t>
      </w:r>
      <w:hyperlink w:anchor="fig:initmatching">
        <w:r>
          <w:rPr>
            <w:rStyle w:val="Hyperlink"/>
          </w:rPr>
          <w:t xml:space="preserve">1</w:t>
        </w:r>
      </w:hyperlink>
      <w:r>
        <w:t xml:space="preserve">B) or mitochondria (Fig.</w:t>
      </w:r>
      <w:r>
        <w:t xml:space="preserve"> </w:t>
      </w:r>
      <w:hyperlink w:anchor="fig:initmatching">
        <w:r>
          <w:rPr>
            <w:rStyle w:val="Hyperlink"/>
          </w:rPr>
          <w:t xml:space="preserve">1</w:t>
        </w:r>
      </w:hyperlink>
      <w:r>
        <w:t xml:space="preserve">D). In the cytosolic areas we found a drastically different</w:t>
      </w:r>
      <w:r>
        <w:t xml:space="preserve"> </w:t>
      </w:r>
      <w:r>
        <w:t xml:space="preserve">number of matches, In some areas we found only ~ 50 matches per image area (Fig.</w:t>
      </w:r>
      <w:r>
        <w:t xml:space="preserve"> </w:t>
      </w:r>
      <w:hyperlink w:anchor="fig:initmatching">
        <w:r>
          <w:rPr>
            <w:rStyle w:val="Hyperlink"/>
          </w:rPr>
          <w:t xml:space="preserve">1</w:t>
        </w:r>
      </w:hyperlink>
      <w:r>
        <w:t xml:space="preserve">E), while</w:t>
      </w:r>
      <w:r>
        <w:t xml:space="preserve"> </w:t>
      </w:r>
      <w:r>
        <w:t xml:space="preserve">in another area we found more than 500 matches (Fig.</w:t>
      </w:r>
      <w:r>
        <w:t xml:space="preserve"> </w:t>
      </w:r>
      <w:hyperlink w:anchor="fig:initmatching">
        <w:r>
          <w:rPr>
            <w:rStyle w:val="Hyperlink"/>
          </w:rPr>
          <w:t xml:space="preserve">1</w:t>
        </w:r>
      </w:hyperlink>
      <w:r>
        <w:t xml:space="preserve">C). This ten-fold difference in</w:t>
      </w:r>
      <w:r>
        <w:t xml:space="preserve"> </w:t>
      </w:r>
      <w:r>
        <w:t xml:space="preserve">local ribosome concentration , but we realized that current data acquistion</w:t>
      </w:r>
      <w:r>
        <w:t xml:space="preserve"> </w:t>
      </w:r>
      <w:r>
        <w:t xml:space="preserve">protocols are limited in that only a small area of the lamella is actually</w:t>
      </w:r>
      <w:r>
        <w:t xml:space="preserve"> </w:t>
      </w:r>
      <w:r>
        <w:t xml:space="preserve">imaged and, due to the manual selection of acquision positions based on the</w:t>
      </w:r>
      <w:r>
        <w:t xml:space="preserve"> </w:t>
      </w:r>
      <w:r>
        <w:t xml:space="preserve">overview image, might be biased towards cellular region that appear appealing to</w:t>
      </w:r>
      <w:r>
        <w:t xml:space="preserve"> </w:t>
      </w:r>
      <w:r>
        <w:t xml:space="preserve">the experimentalist. We therefore set out to collect cryo-EM data for 2DTM from</w:t>
      </w:r>
      <w:r>
        <w:t xml:space="preserve"> </w:t>
      </w:r>
      <w:r>
        <w:t xml:space="preserve">mammalian lamella in a high-throughput unbiased fashion.</w:t>
      </w:r>
    </w:p>
    <w:bookmarkEnd w:id="50"/>
    <w:bookmarkStart w:id="51" w:name="Xb163b10972eb238d5f43a6d1e47aef56c4d7c16"/>
    <w:p>
      <w:pPr>
        <w:pStyle w:val="Heading3"/>
      </w:pPr>
      <w:r>
        <w:t xml:space="preserve">DECO-LACE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 (Fig.</w:t>
      </w:r>
      <w:r>
        <w:t xml:space="preserve"> </w:t>
      </w:r>
      <w:hyperlink w:anchor="fig:approach">
        <w:r>
          <w:rPr>
            <w:rStyle w:val="Hyperlink"/>
          </w:rPr>
          <w:t xml:space="preserve">2</w:t>
        </w:r>
      </w:hyperlink>
      <w:r>
        <w:t xml:space="preserv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w:t>
      </w:r>
      <w:r>
        <w:t xml:space="preserve"> </w:t>
      </w:r>
      <w:hyperlink w:anchor="fig:approach">
        <w:r>
          <w:rPr>
            <w:rStyle w:val="Hyperlink"/>
          </w:rPr>
          <w:t xml:space="preserve">2</w:t>
        </w:r>
      </w:hyperlink>
      <w:r>
        <w:t xml:space="preserve">D).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w:t>
      </w:r>
      <w:r>
        <w:t xml:space="preserve"> </w:t>
      </w:r>
      <w:hyperlink w:anchor="fig:approach">
        <w:r>
          <w:rPr>
            <w:rStyle w:val="Hyperlink"/>
          </w:rPr>
          <w:t xml:space="preserve">2</w:t>
        </w:r>
      </w:hyperlink>
      <w:r>
        <w:t xml:space="preserve">E).</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pattern(Fig.</w:t>
      </w:r>
      <w:r>
        <w:t xml:space="preserve"> </w:t>
      </w:r>
      <w:hyperlink w:anchor="fig:approach">
        <w:r>
          <w:rPr>
            <w:rStyle w:val="Hyperlink"/>
          </w:rPr>
          <w:t xml:space="preserve">2</w:t>
        </w:r>
      </w:hyperlink>
      <w:r>
        <w:t xml:space="preserve">A,C). Instead of focusing in a sacrificial area, we determined the</w:t>
      </w:r>
      <w:r>
        <w:t xml:space="preserve"> </w:t>
      </w:r>
      <w:r>
        <w:t xml:space="preserve">defocus after every exposure by fitting the Thon rings. The focus was then adjusted based on the difference between</w:t>
      </w:r>
      <w:r>
        <w:t xml:space="preserve"> </w:t>
      </w:r>
      <w:r>
        <w:t xml:space="preserve">desired and measured defocus (Fig.</w:t>
      </w:r>
      <w:r>
        <w:t xml:space="preserve"> </w:t>
      </w:r>
      <w:hyperlink w:anchor="fig:approach">
        <w:r>
          <w:rPr>
            <w:rStyle w:val="Hyperlink"/>
          </w:rPr>
          <w:t xml:space="preserve">2</w:t>
        </w:r>
      </w:hyperlink>
      <w:r>
        <w:t xml:space="preserve">B).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from hereon referred to as Lamella</w:t>
      </w:r>
      <w:r>
        <w:rPr>
          <w:vertAlign w:val="subscript"/>
        </w:rPr>
        <w:t xml:space="preserve">EUC</w:t>
      </w:r>
      <w:r>
        <w:t xml:space="preserve">, and 4 using the fringe-free</w:t>
      </w:r>
      <w:r>
        <w:t xml:space="preserve"> </w:t>
      </w:r>
      <w:r>
        <w:t xml:space="preserve">condition, from hereon referred to as Lamella</w:t>
      </w:r>
      <w:r>
        <w:rPr>
          <w:vertAlign w:val="subscript"/>
        </w:rPr>
        <w:t xml:space="preserve">FFF</w:t>
      </w:r>
      <w:r>
        <w:t xml:space="preserve">(Fig.</w:t>
      </w:r>
      <w:r>
        <w:t xml:space="preserve"> </w:t>
      </w:r>
      <w:hyperlink w:anchor="fig:lamella_images">
        <w:r>
          <w:rPr>
            <w:rStyle w:val="Hyperlink"/>
          </w:rPr>
          <w:t xml:space="preserve">S2</w:t>
        </w:r>
      </w:hyperlink>
      <w:r>
        <w:t xml:space="preserve">).</w:t>
      </w:r>
      <w:r>
        <w:t xml:space="preserve"> </w:t>
      </w:r>
      <w:r>
        <w:t xml:space="preserve">We were able to highly consistently collect data with a defocus of 800nm (Fig.</w:t>
      </w:r>
      <w:r>
        <w:t xml:space="preserve"> </w:t>
      </w:r>
      <w:hyperlink w:anchor="fig:approach">
        <w:r>
          <w:rPr>
            <w:rStyle w:val="Hyperlink"/>
          </w:rPr>
          <w:t xml:space="preserve">2</w:t>
        </w:r>
      </w:hyperlink>
      <w:r>
        <w:t xml:space="preserve">F), both in the eucentric focus and fringe-free focus condition.</w:t>
      </w:r>
      <w:r>
        <w:t xml:space="preserve"> </w:t>
      </w:r>
      <w:r>
        <w:t xml:space="preserve">To ensure that data was collected consistently, we mapped defocus values as a</w:t>
      </w:r>
      <w:r>
        <w:t xml:space="preserve"> </w:t>
      </w:r>
      <w:r>
        <w:t xml:space="preserve">function of the applied Beam-image shift (Fig.</w:t>
      </w:r>
      <w:r>
        <w:t xml:space="preserve"> </w:t>
      </w:r>
      <w:hyperlink w:anchor="fig:lamella_spatial_info">
        <w:r>
          <w:rPr>
            <w:rStyle w:val="Hyperlink"/>
          </w:rPr>
          <w:t xml:space="preserve">S3</w:t>
        </w:r>
      </w:hyperlink>
      <w:r>
        <w:t xml:space="preserve">A).</w:t>
      </w:r>
      <w:r>
        <w:t xml:space="preserve"> </w:t>
      </w:r>
      <w:r>
        <w:t xml:space="preserve">This demonstrated that the defocus was consistent over the lamella, with</w:t>
      </w:r>
      <w:r>
        <w:t xml:space="preserve"> </w:t>
      </w:r>
      <w:r>
        <w:t xml:space="preserve">outliers only at isolated images and in images containing contamination. We also</w:t>
      </w:r>
      <w:r>
        <w:t xml:space="preserve"> </w:t>
      </w:r>
      <w:r>
        <w:t xml:space="preserve">plotted the measure objective astigmatism of the lamella and found that it</w:t>
      </w:r>
      <w:r>
        <w:t xml:space="preserve"> </w:t>
      </w:r>
      <w:r>
        <w:t xml:space="preserve">varies with the applied Beam-image shift, become more astigmatic mostly due to</w:t>
      </w:r>
      <w:r>
        <w:t xml:space="preserve"> </w:t>
      </w:r>
      <w:r>
        <w:t xml:space="preserve">beam-image shift in the X direction(Fig.</w:t>
      </w:r>
      <w:r>
        <w:t xml:space="preserve"> </w:t>
      </w:r>
      <w:hyperlink w:anchor="fig:lamella_spatial_info">
        <w:r>
          <w:rPr>
            <w:rStyle w:val="Hyperlink"/>
          </w:rPr>
          <w:t xml:space="preserve">S3</w:t>
        </w:r>
      </w:hyperlink>
      <w:r>
        <w:t xml:space="preserve">B). While</w:t>
      </w:r>
      <w:r>
        <w:t xml:space="preserve"> </w:t>
      </w:r>
      <w:r>
        <w:t xml:space="preserve">approaches exist to correct this during the data-collection [cite], we opted to not use</w:t>
      </w:r>
      <w:r>
        <w:t xml:space="preserve"> </w:t>
      </w:r>
      <w:r>
        <w:t xml:space="preserve">these approaches in our initial experiments. We reasoned that because 2DTM depends on high-resolution information, this would be an excellent test of how much these aberration affect imaging.</w:t>
      </w:r>
    </w:p>
    <w:p>
      <w:pPr>
        <w:pStyle w:val="BodyText"/>
      </w:pPr>
      <w:r>
        <w:t xml:space="preserve">We assembled the tile micrographs into a montage using the Beam-Image-shift value and the SerialEM calibration followed by cross-correlation based refinement (see Methods). In the resulting montages the same cellular features than in the overview images are apparent (Fig.</w:t>
      </w:r>
      <w:r>
        <w:t xml:space="preserve"> </w:t>
      </w:r>
      <w:hyperlink w:anchor="fig:lamella_spatial_info">
        <w:r>
          <w:rPr>
            <w:rStyle w:val="Hyperlink"/>
          </w:rPr>
          <w:t xml:space="preserve">S3</w:t>
        </w:r>
      </w:hyperlink>
      <w:r>
        <w:t xml:space="preserve">G-J), however due to the high magnification and low defocus many more details, such as the membrane bilayer seperation can be observed. For montages collected using the eucentric there are clearly visible fringes at the edges between the tiles, which are absent in the fringe-free focus montage. However, it is unclear whether these fringes impede molecular detection or due to their low-resolution nature are only an aesthetic issue. We also note that the tiling pattern is visible in the montages, which we believe is due to the non-linear behaviour of the K3 camera (see Dicussion).</w:t>
      </w:r>
    </w:p>
    <w:p>
      <w:pPr>
        <w:pStyle w:val="BodyText"/>
      </w:pPr>
      <w:r>
        <w:t xml:space="preserve">While inspecting the montages we noticed that the membrane vesicles and granules are highly variable in size and electron density of their content. We found furthermore that a substantial number of granules with a high electron density seemed to contain a membrane-enclosed inclusion with electron-density similar to the surrounding cytosol (Fig. [TODO]). [Describe measurements]</w:t>
      </w:r>
    </w:p>
    <w:bookmarkEnd w:id="51"/>
    <w:bookmarkStart w:id="52" w:name="X768fd35ee707a8fa24d4bd1b4aeb2e7ca8cf189"/>
    <w:p>
      <w:pPr>
        <w:pStyle w:val="Heading3"/>
      </w:pPr>
      <w:r>
        <w:t xml:space="preserve">2DTM of DeCo-LACE data reveals ribosome distribution in cellular cross-sections</w:t>
      </w:r>
    </w:p>
    <w:p>
      <w:pPr>
        <w:pStyle w:val="FirstParagraph"/>
      </w:pPr>
      <w:r>
        <w:t xml:space="preserve">In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w:t>
      </w:r>
      <w:r>
        <w:t xml:space="preserve"> </w:t>
      </w:r>
      <w:hyperlink w:anchor="fig:crop_unblur">
        <w:r>
          <w:rPr>
            <w:rStyle w:val="Hyperlink"/>
          </w:rPr>
          <w:t xml:space="preserve">S4</w:t>
        </w:r>
      </w:hyperlink>
      <w:r>
        <w:t xml:space="preserve">A). We reasoned that the</w:t>
      </w:r>
      <w:r>
        <w:t xml:space="preserve"> </w:t>
      </w:r>
      <w:r>
        <w:t xml:space="preserve">edges of the beam might interfere with motion-correction of the movie as they</w:t>
      </w:r>
      <w:r>
        <w:t xml:space="preserve"> </w:t>
      </w:r>
      <w:r>
        <w:t xml:space="preserve">would remain stationary or move differently than the sample. Indeed when we</w:t>
      </w:r>
      <w:r>
        <w:t xml:space="preserve"> </w:t>
      </w:r>
      <w:r>
        <w:t xml:space="preserve">cropped movie to exclude the beam edges we found that the estimated motion was</w:t>
      </w:r>
      <w:r>
        <w:t xml:space="preserve"> </w:t>
      </w:r>
      <w:r>
        <w:t xml:space="preserve">larger than estimated on the uncropped movie (Fig.</w:t>
      </w:r>
      <w:r>
        <w:t xml:space="preserve"> </w:t>
      </w:r>
      <w:hyperlink w:anchor="fig:crop_unblur">
        <w:r>
          <w:rPr>
            <w:rStyle w:val="Hyperlink"/>
          </w:rPr>
          <w:t xml:space="preserve">S4</w:t>
        </w:r>
      </w:hyperlink>
      <w:r>
        <w:t xml:space="preserve">B).</w:t>
      </w:r>
      <w:r>
        <w:t xml:space="preserve"> </w:t>
      </w:r>
      <w:r>
        <w:t xml:space="preserve">Furthermore, in the motion-corrected average we could identify SNR peaks above</w:t>
      </w:r>
      <w:r>
        <w:t xml:space="preserve"> </w:t>
      </w:r>
      <w:r>
        <w:t xml:space="preserve">detection threshold (Fig.</w:t>
      </w:r>
      <w:r>
        <w:t xml:space="preserve"> </w:t>
      </w:r>
      <w:hyperlink w:anchor="fig:crop_unblur">
        <w:r>
          <w:rPr>
            <w:rStyle w:val="Hyperlink"/>
          </w:rPr>
          <w:t xml:space="preserve">S4</w:t>
        </w:r>
      </w:hyperlink>
      <w:r>
        <w:t xml:space="preserve">B), indicating that 2DTM is very</w:t>
      </w:r>
      <w:r>
        <w:t xml:space="preserve"> </w:t>
      </w:r>
      <w:r>
        <w:t xml:space="preserve">sensitive to accurate motion correction and that the beam edge did interfere</w:t>
      </w:r>
      <w:r>
        <w:t xml:space="preserve"> </w:t>
      </w:r>
      <w:r>
        <w:t xml:space="preserve">with motion-correction. In order to avoid having to crop the movies we</w:t>
      </w:r>
      <w:r>
        <w:t xml:space="preserve"> </w:t>
      </w:r>
      <w:r>
        <w:t xml:space="preserve">implemented a function in unblur to consider only the cropped area for</w:t>
      </w:r>
      <w:r>
        <w:t xml:space="preserve"> </w:t>
      </w:r>
      <w:r>
        <w:t xml:space="preserve">estimation of shifts, but average the complete movie (Fig.</w:t>
      </w:r>
      <w:r>
        <w:t xml:space="preserve"> </w:t>
      </w:r>
      <w:hyperlink w:anchor="fig:crop_unblur">
        <w:r>
          <w:rPr>
            <w:rStyle w:val="Hyperlink"/>
          </w:rPr>
          <w:t xml:space="preserve">S4</w:t>
        </w:r>
      </w:hyperlink>
      <w:r>
        <w:t xml:space="preserve">B).</w:t>
      </w:r>
      <w:r>
        <w:t xml:space="preserve"> </w:t>
      </w:r>
      <w:r>
        <w:t xml:space="preserve">Using this approach we motion-corrected all tiles in the 8 lamella and found</w:t>
      </w:r>
      <w:r>
        <w:t xml:space="preserve"> </w:t>
      </w:r>
      <w:r>
        <w:t xml:space="preserve">consistently total motion below 1Å per frame (Fig.</w:t>
      </w:r>
      <w:r>
        <w:t xml:space="preserve"> </w:t>
      </w:r>
      <w:hyperlink w:anchor="fig:lamella_motion_thickness">
        <w:r>
          <w:rPr>
            <w:rStyle w:val="Hyperlink"/>
          </w:rPr>
          <w:t xml:space="preserve">S5</w:t>
        </w:r>
      </w:hyperlink>
      <w:r>
        <w:t xml:space="preserve"> </w:t>
      </w:r>
      <w:r>
        <w:t xml:space="preserve">A). In some lamella we found increased motion in</w:t>
      </w:r>
      <w:r>
        <w:t xml:space="preserve"> </w:t>
      </w:r>
      <w:r>
        <w:t xml:space="preserve">the center of the lamella, which indicates that mechanical stability of</w:t>
      </w:r>
      <w:r>
        <w:t xml:space="preserve"> </w:t>
      </w:r>
      <w:r>
        <w:t xml:space="preserve">FIB-milled lamella might not be homogeneous over the lamella surface. In some</w:t>
      </w:r>
      <w:r>
        <w:t xml:space="preserve"> </w:t>
      </w:r>
      <w:r>
        <w:t xml:space="preserve">micrographs we also observed that the beam edges gave rise to artifacts in the</w:t>
      </w:r>
      <w:r>
        <w:t xml:space="preserve"> </w:t>
      </w:r>
      <w:r>
        <w:t xml:space="preserve">cross-correlation mip and numerous false-positive matches at the edge of the</w:t>
      </w:r>
      <w:r>
        <w:t xml:space="preserve"> </w:t>
      </w:r>
      <w:r>
        <w:t xml:space="preserve">illuminated area (Fig. TODO). A similar phenomenon was observed on isolated</w:t>
      </w:r>
      <w:r>
        <w:t xml:space="preserve"> </w:t>
      </w:r>
      <w:r>
        <w:t xml:space="preserve">“</w:t>
      </w:r>
      <w:r>
        <w:t xml:space="preserve">hot</w:t>
      </w:r>
      <w:r>
        <w:t xml:space="preserve">”</w:t>
      </w:r>
      <w:r>
        <w:t xml:space="preserve"> </w:t>
      </w:r>
      <w:r>
        <w:t xml:space="preserve">pixels in the unilluminated area. To overcome this issue we implemented a</w:t>
      </w:r>
      <w:r>
        <w:t xml:space="preserve"> </w:t>
      </w:r>
      <w:r>
        <w:t xml:space="preserve">function in unblur to replace unillluminated areas in the micrograph with</w:t>
      </w:r>
      <w:r>
        <w:t xml:space="preserve"> </w:t>
      </w:r>
      <w:r>
        <w:t xml:space="preserve">gaussian noise, with mean and standard deviation matched to the illuminated</w:t>
      </w:r>
      <w:r>
        <w:t xml:space="preserve"> </w:t>
      </w:r>
      <w:r>
        <w:t xml:space="preserve">portion of the micrograph (Fig. TODO). Together, these special pre-processing</w:t>
      </w:r>
      <w:r>
        <w:t xml:space="preserve"> </w:t>
      </w:r>
      <w:r>
        <w:t xml:space="preserve">steps enabled us to perform 2DTM on all tiles of the 8 lamellae.</w:t>
      </w:r>
    </w:p>
    <w:p>
      <w:pPr>
        <w:pStyle w:val="BodyText"/>
      </w:pPr>
      <w:r>
        <w:t xml:space="preserve">We then used the refined tile positions to calculate the positions of the</w:t>
      </w:r>
      <w:r>
        <w:t xml:space="preserve"> </w:t>
      </w:r>
      <w:r>
        <w:t xml:space="preserve">matched LSUs in the lamellae (Fig.</w:t>
      </w:r>
      <w:r>
        <w:t xml:space="preserve"> </w:t>
      </w:r>
      <w:hyperlink w:anchor="fig:matching_euc">
        <w:r>
          <w:rPr>
            <w:rStyle w:val="Hyperlink"/>
          </w:rPr>
          <w:t xml:space="preserve">4</w:t>
        </w:r>
      </w:hyperlink>
      <w:r>
        <w:t xml:space="preserve"> </w:t>
      </w:r>
      <w:r>
        <w:t xml:space="preserve">A, Fig.</w:t>
      </w:r>
      <w:r>
        <w:t xml:space="preserve"> </w:t>
      </w:r>
      <w:hyperlink w:anchor="fig:matching_fff">
        <w:r>
          <w:rPr>
            <w:rStyle w:val="Hyperlink"/>
          </w:rPr>
          <w:t xml:space="preserve">5</w:t>
        </w:r>
      </w:hyperlink>
      <w:r>
        <w:t xml:space="preserve"> </w:t>
      </w:r>
      <w:r>
        <w:t xml:space="preserve">A). Overlaying these positions of the lamella montages</w:t>
      </w:r>
      <w:r>
        <w:t xml:space="preserve"> </w:t>
      </w:r>
      <w:r>
        <w:t xml:space="preserve">reveal ribsome distribution throughout the FIB-milled slice of individual cells.</w:t>
      </w:r>
      <w:r>
        <w:t xml:space="preserve"> </w:t>
      </w:r>
      <w:r>
        <w:t xml:space="preserve">Organelles like the nucleus and mitochondria only showed sporadic matches with</w:t>
      </w:r>
      <w:r>
        <w:t xml:space="preserve"> </w:t>
      </w:r>
      <w:r>
        <w:t xml:space="preserve">low SNRs, consistent with the estimated false-positive rate on one per tile.</w:t>
      </w:r>
      <w:r>
        <w:t xml:space="preserve"> </w:t>
      </w:r>
      <w:r>
        <w:t xml:space="preserve">During the assembly we calculated the Z positions from the indivdual estimated</w:t>
      </w:r>
      <w:r>
        <w:t xml:space="preserve"> </w:t>
      </w:r>
      <w:r>
        <w:t xml:space="preserve">defocus levels and the focus plane of the microscope during acquisition of each</w:t>
      </w:r>
      <w:r>
        <w:t xml:space="preserve"> </w:t>
      </w:r>
      <w:r>
        <w:t xml:space="preserve">tile. When viewed from the side the ribosome position therefore show the slope</w:t>
      </w:r>
      <w:r>
        <w:t xml:space="preserve"> </w:t>
      </w:r>
      <w:r>
        <w:t xml:space="preserve">of the lamella in the microscope frame (Fig.</w:t>
      </w:r>
      <w:r>
        <w:t xml:space="preserve"> </w:t>
      </w:r>
      <w:hyperlink w:anchor="fig:matching_euc">
        <w:r>
          <w:rPr>
            <w:rStyle w:val="Hyperlink"/>
          </w:rPr>
          <w:t xml:space="preserve">4</w:t>
        </w:r>
      </w:hyperlink>
      <w:r>
        <w:t xml:space="preserve"> </w:t>
      </w:r>
      <w:r>
        <w:t xml:space="preserve">B, Fig.</w:t>
      </w:r>
      <w:r>
        <w:t xml:space="preserve"> </w:t>
      </w:r>
      <w:hyperlink w:anchor="fig:matching_fff">
        <w:r>
          <w:rPr>
            <w:rStyle w:val="Hyperlink"/>
          </w:rPr>
          <w:t xml:space="preserve">5</w:t>
        </w:r>
      </w:hyperlink>
      <w:r>
        <w:t xml:space="preserve"> </w:t>
      </w:r>
      <w:r>
        <w:t xml:space="preserve">B). Furthermore, the side-views indicated that lamellae were</w:t>
      </w:r>
      <w:r>
        <w:t xml:space="preserve"> </w:t>
      </w:r>
      <w:r>
        <w:t xml:space="preserve">thinner at the leading edge. Indeed, when we plotted the electron intensities in</w:t>
      </w:r>
      <w:r>
        <w:t xml:space="preserve"> </w:t>
      </w:r>
      <w:r>
        <w:t xml:space="preserve">individual tiles as a function of Beam-Image shift we observed substantially</w:t>
      </w:r>
      <w:r>
        <w:t xml:space="preserve"> </w:t>
      </w:r>
      <w:r>
        <w:t xml:space="preserve">higher intensities at the leading edge, which in energy-filtered TEM indicates a</w:t>
      </w:r>
      <w:r>
        <w:t xml:space="preserve"> </w:t>
      </w:r>
      <w:r>
        <w:t xml:space="preserve">thinner sample [cite]. Even though we prepared the lamellae with the</w:t>
      </w:r>
      <w:r>
        <w:t xml:space="preserve"> </w:t>
      </w:r>
      <w:r>
        <w:t xml:space="preserve">“</w:t>
      </w:r>
      <w:r>
        <w:t xml:space="preserve">overtile</w:t>
      </w:r>
      <w:r>
        <w:t xml:space="preserve">”</w:t>
      </w:r>
      <w:r>
        <w:t xml:space="preserve"> </w:t>
      </w:r>
      <w:r>
        <w:t xml:space="preserve">approach [cite], this means that ribosome densities across the lamellae can be</w:t>
      </w:r>
      <w:r>
        <w:t xml:space="preserve"> </w:t>
      </w:r>
      <w:r>
        <w:t xml:space="preserve">schewed by the changes in thickness and better sample preparation methods are</w:t>
      </w:r>
      <w:r>
        <w:t xml:space="preserve"> </w:t>
      </w:r>
      <w:r>
        <w:t xml:space="preserve">needed to generate more even samples.</w:t>
      </w:r>
    </w:p>
    <w:p>
      <w:pPr>
        <w:pStyle w:val="BodyText"/>
      </w:pPr>
      <w:r>
        <w:t xml:space="preserve">Close inspection of the ribosome positions in the lamellae revealed multi</w:t>
      </w:r>
      <w:r>
        <w:t xml:space="preserve"> </w:t>
      </w:r>
      <w:r>
        <w:t xml:space="preserve">interesting features. Ribosomes could be seen associating with the membrane, in</w:t>
      </w:r>
      <w:r>
        <w:t xml:space="preserve"> </w:t>
      </w:r>
      <w:r>
        <w:t xml:space="preserve">patterns reminiscent of the rough endoplasmic reticulum (Fig.</w:t>
      </w:r>
      <w:r>
        <w:t xml:space="preserve"> </w:t>
      </w:r>
      <w:hyperlink w:anchor="fig:matching_euc">
        <w:r>
          <w:rPr>
            <w:rStyle w:val="Hyperlink"/>
          </w:rPr>
          <w:t xml:space="preserve">4</w:t>
        </w:r>
      </w:hyperlink>
      <w:r>
        <w:t xml:space="preserve"> </w:t>
      </w:r>
      <w:r>
        <w:t xml:space="preserve">C, Fig.</w:t>
      </w:r>
      <w:r>
        <w:t xml:space="preserve"> </w:t>
      </w:r>
      <w:hyperlink w:anchor="fig:matching_fff">
        <w:r>
          <w:rPr>
            <w:rStyle w:val="Hyperlink"/>
          </w:rPr>
          <w:t xml:space="preserve">5</w:t>
        </w:r>
      </w:hyperlink>
      <w:r>
        <w:t xml:space="preserve"> </w:t>
      </w:r>
      <w:r>
        <w:t xml:space="preserve">C) or the outer nuclear membrane</w:t>
      </w:r>
      <w:r>
        <w:t xml:space="preserve"> </w:t>
      </w:r>
      <w:r>
        <w:t xml:space="preserve">(Fig.</w:t>
      </w:r>
      <w:r>
        <w:t xml:space="preserve"> </w:t>
      </w:r>
      <w:hyperlink w:anchor="fig:matching_euc">
        <w:r>
          <w:rPr>
            <w:rStyle w:val="Hyperlink"/>
          </w:rPr>
          <w:t xml:space="preserve">4</w:t>
        </w:r>
      </w:hyperlink>
      <w:r>
        <w:t xml:space="preserve"> </w:t>
      </w:r>
      <w:r>
        <w:t xml:space="preserve">D). We also observed ribosomes forming ring-like</w:t>
      </w:r>
      <w:r>
        <w:t xml:space="preserve"> </w:t>
      </w:r>
      <w:r>
        <w:t xml:space="preserve">structures (Fig.</w:t>
      </w:r>
      <w:r>
        <w:t xml:space="preserve"> </w:t>
      </w:r>
      <w:hyperlink w:anchor="fig:matching_euc">
        <w:r>
          <w:rPr>
            <w:rStyle w:val="Hyperlink"/>
          </w:rPr>
          <w:t xml:space="preserve">4</w:t>
        </w:r>
      </w:hyperlink>
      <w:r>
        <w:t xml:space="preserve"> </w:t>
      </w:r>
      <w:r>
        <w:t xml:space="preserve">E), potentially indicating circularized</w:t>
      </w:r>
      <w:r>
        <w:t xml:space="preserve"> </w:t>
      </w:r>
      <w:r>
        <w:t xml:space="preserve">mRNAs [cite]. While ribosomes were for the most part excluded from the numerous</w:t>
      </w:r>
      <w:r>
        <w:t xml:space="preserve"> </w:t>
      </w:r>
      <w:r>
        <w:t xml:space="preserve">granules observed in the cytoplasm, in some circumstances we observed clusters</w:t>
      </w:r>
      <w:r>
        <w:t xml:space="preserve"> </w:t>
      </w:r>
      <w:r>
        <w:t xml:space="preserve">of ribosomes in the lower electron density inclusion in the class of</w:t>
      </w:r>
      <w:r>
        <w:t xml:space="preserve"> </w:t>
      </w:r>
      <w:r>
        <w:t xml:space="preserve">double-membraned granules described earlier (Fig.</w:t>
      </w:r>
      <w:r>
        <w:t xml:space="preserve"> </w:t>
      </w:r>
      <w:hyperlink w:anchor="fig:matching_euc">
        <w:r>
          <w:rPr>
            <w:rStyle w:val="Hyperlink"/>
          </w:rPr>
          <w:t xml:space="preserve">4</w:t>
        </w:r>
      </w:hyperlink>
      <w:r>
        <w:t xml:space="preserve"> </w:t>
      </w:r>
      <w:r>
        <w:t xml:space="preserve">F, Fig.</w:t>
      </w:r>
      <w:r>
        <w:t xml:space="preserve"> </w:t>
      </w:r>
      <w:hyperlink w:anchor="fig:matching_fff">
        <w:r>
          <w:rPr>
            <w:rStyle w:val="Hyperlink"/>
          </w:rPr>
          <w:t xml:space="preserve">5</w:t>
        </w:r>
      </w:hyperlink>
      <w:r>
        <w:t xml:space="preserve"> </w:t>
      </w:r>
      <w:r>
        <w:t xml:space="preserve">D,E). It is, in principle, possible that these matches are</w:t>
      </w:r>
      <w:r>
        <w:t xml:space="preserve"> </w:t>
      </w:r>
      <w:r>
        <w:t xml:space="preserve">situated above or below the imaged granule, since the granules position in Z</w:t>
      </w:r>
      <w:r>
        <w:t xml:space="preserve"> </w:t>
      </w:r>
      <w:r>
        <w:t xml:space="preserve">cannot be determined using a 2D projection. However, in the case of Fig.</w:t>
      </w:r>
      <w:r>
        <w:t xml:space="preserve"> </w:t>
      </w:r>
      <w:hyperlink w:anchor="fig:matching_fff">
        <w:r>
          <w:rPr>
            <w:rStyle w:val="Hyperlink"/>
          </w:rPr>
          <w:t xml:space="preserve">5</w:t>
        </w:r>
      </w:hyperlink>
      <w:r>
        <w:t xml:space="preserve"> </w:t>
      </w:r>
      <w:r>
        <w:t xml:space="preserve">E, the matched ribosomes span the whole lamella in the Z</w:t>
      </w:r>
      <w:r>
        <w:t xml:space="preserve"> </w:t>
      </w:r>
      <w:r>
        <w:t xml:space="preserve">direction, while a position above or below the granule would result in ribosome</w:t>
      </w:r>
      <w:r>
        <w:t xml:space="preserve"> </w:t>
      </w:r>
      <w:r>
        <w:t xml:space="preserve">situated exlusively at the top or bottom of the lamella. This conclusive</w:t>
      </w:r>
      <w:r>
        <w:t xml:space="preserve"> </w:t>
      </w:r>
      <w:r>
        <w:t xml:space="preserve">evidence of ribosomes in the inclusion is consistent with the earlier hypothesis</w:t>
      </w:r>
      <w:r>
        <w:t xml:space="preserve"> </w:t>
      </w:r>
      <w:r>
        <w:t xml:space="preserve">that the inclusion is of cytoplasmic origin.</w:t>
      </w:r>
    </w:p>
    <w:p>
      <w:pPr>
        <w:pStyle w:val="BodyText"/>
      </w:pPr>
      <w:r>
        <w:t xml:space="preserve">Between the 8 lamellae we found different number of matches (Fig.</w:t>
      </w:r>
      <w:r>
        <w:t xml:space="preserve"> </w:t>
      </w:r>
      <w:hyperlink w:anchor="fig:matching_stat">
        <w:r>
          <w:rPr>
            <w:rStyle w:val="Hyperlink"/>
          </w:rPr>
          <w:t xml:space="preserve">3</w:t>
        </w:r>
      </w:hyperlink>
      <w:r>
        <w:t xml:space="preserve"> </w:t>
      </w:r>
      <w:r>
        <w:t xml:space="preserve">A). Lamella</w:t>
      </w:r>
      <w:r>
        <w:rPr>
          <w:vertAlign w:val="subscript"/>
        </w:rPr>
        <w:t xml:space="preserve">EUC</w:t>
      </w:r>
      <w:r>
        <w:t xml:space="preserve"> </w:t>
      </w:r>
      <w:r>
        <w:t xml:space="preserve">1 resulted in the most matches, but also has the largest surface area and contained</w:t>
      </w:r>
      <w:r>
        <w:t xml:space="preserve"> </w:t>
      </w:r>
      <w:r>
        <w:t xml:space="preserve">cytoplasm of two cells. Lamella</w:t>
      </w:r>
      <w:r>
        <w:rPr>
          <w:vertAlign w:val="subscript"/>
        </w:rPr>
        <w:t xml:space="preserve">FFF</w:t>
      </w:r>
      <w:r>
        <w:t xml:space="preserve"> </w:t>
      </w:r>
      <w:r>
        <w:t xml:space="preserve">4 had the fewest matches, but this particular slice was dominated by a circular</w:t>
      </w:r>
      <w:r>
        <w:t xml:space="preserve"> </w:t>
      </w:r>
      <w:r>
        <w:t xml:space="preserve">nucleus slice, with only small pockets of cytoplasm (Fig.</w:t>
      </w:r>
      <w:r>
        <w:t xml:space="preserve"> </w:t>
      </w:r>
      <w:hyperlink w:anchor="fig:lamella_images">
        <w:r>
          <w:rPr>
            <w:rStyle w:val="Hyperlink"/>
          </w:rPr>
          <w:t xml:space="preserve">S2</w:t>
        </w:r>
      </w:hyperlink>
      <w:r>
        <w:t xml:space="preserve">). In an attempt to normalize for these differences in</w:t>
      </w:r>
      <w:r>
        <w:t xml:space="preserve"> </w:t>
      </w:r>
      <w:r>
        <w:t xml:space="preserve">lamella surface area we compared the number of matches per tile in tiles which</w:t>
      </w:r>
      <w:r>
        <w:t xml:space="preserve"> </w:t>
      </w:r>
      <w:r>
        <w:t xml:space="preserve">contained more than one match, which should exclude tiles with non-cytosolic</w:t>
      </w:r>
      <w:r>
        <w:t xml:space="preserve"> </w:t>
      </w:r>
      <w:r>
        <w:t xml:space="preserve">content (Fig.</w:t>
      </w:r>
      <w:r>
        <w:t xml:space="preserve"> </w:t>
      </w:r>
      <w:hyperlink w:anchor="fig:matching_stat">
        <w:r>
          <w:rPr>
            <w:rStyle w:val="Hyperlink"/>
          </w:rPr>
          <w:t xml:space="preserve">3</w:t>
        </w:r>
      </w:hyperlink>
      <w:r>
        <w:t xml:space="preserve"> </w:t>
      </w:r>
      <w:r>
        <w:t xml:space="preserve">B). While this measure had less variablity,</w:t>
      </w:r>
      <w:r>
        <w:t xml:space="preserve"> </w:t>
      </w:r>
      <w:r>
        <w:t xml:space="preserve">there were still differences. Lamella</w:t>
      </w:r>
      <w:r>
        <w:rPr>
          <w:vertAlign w:val="subscript"/>
        </w:rPr>
        <w:t xml:space="preserve">EUC</w:t>
      </w:r>
      <w:r>
        <w:t xml:space="preserve"> </w:t>
      </w:r>
      <w:r>
        <w:t xml:space="preserve">4 had not only the fewest</w:t>
      </w:r>
      <w:r>
        <w:t xml:space="preserve"> </w:t>
      </w:r>
      <w:r>
        <w:t xml:space="preserve">matches, but also the lowest density, which could be due to the thickness of the</w:t>
      </w:r>
      <w:r>
        <w:t xml:space="preserve"> </w:t>
      </w:r>
      <w:r>
        <w:t xml:space="preserve">lamella or due to a slice through low-ribosome content region. Lamella</w:t>
      </w:r>
      <w:r>
        <w:rPr>
          <w:vertAlign w:val="subscript"/>
        </w:rPr>
        <w:t xml:space="preserve">FFF</w:t>
      </w:r>
      <w:r>
        <w:t xml:space="preserve"> </w:t>
      </w:r>
      <w:r>
        <w:t xml:space="preserve">3 had substantially higher number of ribosomes per tile. Since all</w:t>
      </w:r>
      <w:r>
        <w:t xml:space="preserve"> </w:t>
      </w:r>
      <w:r>
        <w:t xml:space="preserve">of these lamella were milled into identical cells under identical conditions,</w:t>
      </w:r>
      <w:r>
        <w:t xml:space="preserve"> </w:t>
      </w:r>
      <w:r>
        <w:t xml:space="preserve">this underscores the necessity to collect data on large numbers of lamella in</w:t>
      </w:r>
      <w:r>
        <w:t xml:space="preserve"> </w:t>
      </w:r>
      <w:r>
        <w:t xml:space="preserve">order to overcome inherent variability. When comparing the distribution of</w:t>
      </w:r>
      <w:r>
        <w:t xml:space="preserve"> </w:t>
      </w:r>
      <w:r>
        <w:t xml:space="preserve">scores between the lamella we found them to be fairly comparable with a median</w:t>
      </w:r>
      <w:r>
        <w:t xml:space="preserve"> </w:t>
      </w:r>
      <w:r>
        <w:t xml:space="preserve">of …. Lamella</w:t>
      </w:r>
      <w:r>
        <w:rPr>
          <w:vertAlign w:val="subscript"/>
        </w:rPr>
        <w:t xml:space="preserve">EUC</w:t>
      </w:r>
      <w:r>
        <w:t xml:space="preserve"> </w:t>
      </w:r>
      <w:r>
        <w:t xml:space="preserve">1 had slightly lower scores compared to others,</w:t>
      </w:r>
      <w:r>
        <w:t xml:space="preserve"> </w:t>
      </w:r>
      <w:r>
        <w:t xml:space="preserve">potentially due to the large size and connected mechanical instabillity during</w:t>
      </w:r>
      <w:r>
        <w:t xml:space="preserve"> </w:t>
      </w:r>
      <w:r>
        <w:t xml:space="preserve">imaging. Overall we did not observe a difference in number or SNR of matches between eucentric or fringe-free focus illumination that was bigger that inter-lamella variability.</w:t>
      </w:r>
    </w:p>
    <w:p>
      <w:pPr>
        <w:pStyle w:val="BodyText"/>
      </w:pPr>
      <w:r>
        <w:t xml:space="preserve">Since the SNR values of 2DTM are highly sensitive to image quality we reasoned we could use them to verify that DeCo-LACE does not introduce systematic errors. We first wondered whether the unusually condensed beam would be prone to non-parallel illumination or whether at the outside of the beam unknown aberration would distort the image. We reasoned that this would lead to lower SNR values at the inside edge of the illuminated area. When we plotted SNR values in all 8 lamellae as a function of there location in tiles we found high SNR value up to the edge of the illuminated area for both eucentric and fringe-free focus illumination, again demonstrating that both illumination schemed are suitable for DeCo-LACE.</w:t>
      </w:r>
    </w:p>
    <w:p>
      <w:pPr>
        <w:pStyle w:val="BodyText"/>
      </w:pPr>
      <w:r>
        <w:t xml:space="preserve">We also wondered whether high Beam-Image shift values would lead aberration due to the astigmatism or beam tilt [cite]. [TODO plot scores vs BIS, euc vs fff]</w:t>
      </w:r>
    </w:p>
    <w:bookmarkEnd w:id="52"/>
    <w:bookmarkStart w:id="53" w:name="Xc57fa58a6c8770defb223934eaa6b56a45338f2"/>
    <w:p>
      <w:pPr>
        <w:pStyle w:val="Heading3"/>
      </w:pPr>
      <w:r>
        <w:t xml:space="preserve">Computation is the bottleneck of visual proteomics</w:t>
      </w:r>
    </w:p>
    <w:p>
      <w:pPr>
        <w:pStyle w:val="FirstParagraph"/>
      </w:pPr>
      <w:r>
        <w:t xml:space="preserve">As described above the variability of lamella, both in terms of technique such as area, thickness and mechanical stability, and of biology, such as selection of cell and location of the slice in relation to the complete cell, could be overcome by collecting orders of magnitude more data. This will be essential to allow robust statistical comparisons of macromolecule number and location between different experimental conditions.</w:t>
      </w:r>
    </w:p>
    <w:bookmarkEnd w:id="53"/>
    <w:bookmarkEnd w:id="54"/>
    <w:bookmarkStart w:id="55" w:name="discussion"/>
    <w:p>
      <w:pPr>
        <w:pStyle w:val="Heading2"/>
      </w:pPr>
      <w:r>
        <w:t xml:space="preserve">Discussion</w:t>
      </w:r>
    </w:p>
    <w:p>
      <w:pPr>
        <w:numPr>
          <w:ilvl w:val="0"/>
          <w:numId w:val="1003"/>
        </w:numPr>
      </w:pPr>
      <w:r>
        <w:t xml:space="preserve">Elizabeth Wright and Grant Jensen Montage tomography papers</w:t>
      </w:r>
    </w:p>
    <w:p>
      <w:pPr>
        <w:numPr>
          <w:ilvl w:val="0"/>
          <w:numId w:val="1003"/>
        </w:numPr>
      </w:pPr>
      <w:r>
        <w:t xml:space="preserve">Waffle method for higher throughput, automation of fib-milling</w:t>
      </w:r>
    </w:p>
    <w:p>
      <w:pPr>
        <w:numPr>
          <w:ilvl w:val="0"/>
          <w:numId w:val="1003"/>
        </w:numPr>
      </w:pPr>
      <w:r>
        <w:t xml:space="preserve">Throughput and bottlenecks</w:t>
      </w:r>
    </w:p>
    <w:p>
      <w:pPr>
        <w:numPr>
          <w:ilvl w:val="0"/>
          <w:numId w:val="1003"/>
        </w:numPr>
      </w:pPr>
      <w:r>
        <w:t xml:space="preserve">lamella mechanical properties, radiation damage, other ways to to thin?</w:t>
      </w:r>
    </w:p>
    <w:p>
      <w:pPr>
        <w:numPr>
          <w:ilvl w:val="0"/>
          <w:numId w:val="1003"/>
        </w:numPr>
      </w:pPr>
      <w:r>
        <w:t xml:space="preserve">eucentric vs fringe free illumination</w:t>
      </w:r>
    </w:p>
    <w:p>
      <w:pPr>
        <w:numPr>
          <w:ilvl w:val="0"/>
          <w:numId w:val="1003"/>
        </w:numPr>
      </w:pPr>
      <w:r>
        <w:t xml:space="preserve">Visual proteomics</w:t>
      </w:r>
    </w:p>
    <w:p>
      <w:pPr>
        <w:numPr>
          <w:ilvl w:val="0"/>
          <w:numId w:val="1003"/>
        </w:numPr>
      </w:pPr>
      <w:r>
        <w:t xml:space="preserve">Granules containing ribosomes?</w:t>
      </w:r>
    </w:p>
    <w:p>
      <w:pPr>
        <w:numPr>
          <w:ilvl w:val="0"/>
          <w:numId w:val="1003"/>
        </w:numPr>
      </w:pPr>
      <w:r>
        <w:t xml:space="preserve">Threshold implications (no matches on most images)</w:t>
      </w:r>
    </w:p>
    <w:p>
      <w:pPr>
        <w:numPr>
          <w:ilvl w:val="0"/>
          <w:numId w:val="1003"/>
        </w:numPr>
      </w:pPr>
      <w:r>
        <w:t xml:space="preserve">K3 not linear</w:t>
      </w:r>
    </w:p>
    <w:bookmarkEnd w:id="55"/>
    <w:bookmarkStart w:id="100" w:name="figures"/>
    <w:p>
      <w:pPr>
        <w:pStyle w:val="Heading2"/>
      </w:pPr>
      <w:r>
        <w:t xml:space="preserve">Figures</w:t>
      </w:r>
    </w:p>
    <w:bookmarkStart w:id="0" w:name="fig:initmatching"/>
    <w:p>
      <w:pPr>
        <w:pStyle w:val="CaptionedFigure"/>
      </w:pPr>
      <w:bookmarkStart w:id="59" w:name="fig:initmatching"/>
      <w:r>
        <w:drawing>
          <wp:inline>
            <wp:extent cx="5943600" cy="3128071"/>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png" id="58" name="Picture"/>
                    <pic:cNvPicPr>
                      <a:picLocks noChangeArrowheads="1" noChangeAspect="1"/>
                    </pic:cNvPicPr>
                  </pic:nvPicPr>
                  <pic:blipFill>
                    <a:blip r:embed="rId56"/>
                    <a:stretch>
                      <a:fillRect/>
                    </a:stretch>
                  </pic:blipFill>
                  <pic:spPr bwMode="auto">
                    <a:xfrm>
                      <a:off x="0" y="0"/>
                      <a:ext cx="5943600" cy="3128071"/>
                    </a:xfrm>
                    <a:prstGeom prst="rect">
                      <a:avLst/>
                    </a:prstGeom>
                    <a:noFill/>
                    <a:ln w="9525">
                      <a:noFill/>
                      <a:headEnd/>
                      <a:tailEnd/>
                    </a:ln>
                  </pic:spPr>
                </pic:pic>
              </a:graphicData>
            </a:graphic>
          </wp:inline>
        </w:drawing>
      </w:r>
      <w:bookmarkEnd w:id="59"/>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3" w:name="fig:initmatching2"/>
      <w:r>
        <w:drawing>
          <wp:inline>
            <wp:extent cx="5943600" cy="4115991"/>
            <wp:effectExtent b="0" l="0" r="0" t="0"/>
            <wp:docPr descr="Figure S1: 2D template matching of the large subunit of the ribosome in fib-milled neutrophil-like cells (A) Maximum intensity projection cross-correlation map of micrograph shown in Figure 1 (B+C) 3D plot of MIP regions indicated by color boxes in Panel A" title="" id="61" name="Picture"/>
            <a:graphic>
              <a:graphicData uri="http://schemas.openxmlformats.org/drawingml/2006/picture">
                <pic:pic>
                  <pic:nvPicPr>
                    <pic:cNvPr descr="figures/initmatching2.png" id="62" name="Picture"/>
                    <pic:cNvPicPr>
                      <a:picLocks noChangeArrowheads="1" noChangeAspect="1"/>
                    </pic:cNvPicPr>
                  </pic:nvPicPr>
                  <pic:blipFill>
                    <a:blip r:embed="rId60"/>
                    <a:stretch>
                      <a:fillRect/>
                    </a:stretch>
                  </pic:blipFill>
                  <pic:spPr bwMode="auto">
                    <a:xfrm>
                      <a:off x="0" y="0"/>
                      <a:ext cx="5943600" cy="4115991"/>
                    </a:xfrm>
                    <a:prstGeom prst="rect">
                      <a:avLst/>
                    </a:prstGeom>
                    <a:noFill/>
                    <a:ln w="9525">
                      <a:noFill/>
                      <a:headEnd/>
                      <a:tailEnd/>
                    </a:ln>
                  </pic:spPr>
                </pic:pic>
              </a:graphicData>
            </a:graphic>
          </wp:inline>
        </w:drawing>
      </w:r>
      <w:bookmarkEnd w:id="63"/>
    </w:p>
    <w:p>
      <w:pPr>
        <w:pStyle w:val="ImageCaption"/>
      </w:pPr>
      <w:r>
        <w:t xml:space="preserve">Figure S1: 2D template matching of the large subunit of the ribosome in fib-milled</w:t>
      </w:r>
      <w:r>
        <w:t xml:space="preserve"> </w:t>
      </w:r>
      <w:r>
        <w:t xml:space="preserve">neutrophil-like cells (A) Maximum intensity projection cross-correlation map of</w:t>
      </w:r>
      <w:r>
        <w:t xml:space="preserve"> </w:t>
      </w:r>
      <w:r>
        <w:t xml:space="preserve">micrograph shown in Figure</w:t>
      </w:r>
      <w:r>
        <w:t xml:space="preserve"> </w:t>
      </w:r>
      <w:hyperlink w:anchor="fig:initmatching">
        <w:r>
          <w:rPr>
            <w:rStyle w:val="Hyperlink"/>
          </w:rPr>
          <w:t xml:space="preserve">1</w:t>
        </w:r>
      </w:hyperlink>
      <w:r>
        <w:t xml:space="preserve"> </w:t>
      </w:r>
      <w:r>
        <w:t xml:space="preserve">(B+C) 3D plot of MIP regions indicated by color boxes in Panel A</w:t>
      </w:r>
    </w:p>
    <w:bookmarkEnd w:id="0"/>
    <w:bookmarkStart w:id="0" w:name="fig:approach"/>
    <w:p>
      <w:pPr>
        <w:pStyle w:val="CaptionedFigure"/>
      </w:pPr>
      <w:bookmarkStart w:id="67" w:name="fig:approach"/>
      <w:r>
        <w:drawing>
          <wp:inline>
            <wp:extent cx="5943600" cy="5956181"/>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raster the whole lamella (B) Diagram of the collection algorithm (C) Example overview image of a lamella with the designated acquisition positions and the used beam diameter indicated with red circles (D+E) Representative micrographs takne with a condensed beam at eucentric focus (D) or fringe-free focus (E) (F) Boxplot of defocus measured by ctffind of micrographs taken by the DeCo-Lace approach on 4 lamella images at eucentric focus and 4 lamella imaged with fringe-free focus. (F+G) Lamella overview images of lamella imaged at eucentric focus (F) Overview image taken at low magnification (40Å pixel size) (G) Overview created by montaging high magnification images taken with the DeCo-Lace approach (1.5Å pixelsize) (H+I) Lamella overview images of lamella imaged at fringe-free focus (H) Overview image taken at low magnification (40Å pixel size) (I) Overview created by montaging high magnification images taken with the DeCo-Lace approach (1.5Å pixelsize)" title="" id="65" name="Picture"/>
            <a:graphic>
              <a:graphicData uri="http://schemas.openxmlformats.org/drawingml/2006/picture">
                <pic:pic>
                  <pic:nvPicPr>
                    <pic:cNvPr descr="figures/approach.png" id="66" name="Picture"/>
                    <pic:cNvPicPr>
                      <a:picLocks noChangeArrowheads="1" noChangeAspect="1"/>
                    </pic:cNvPicPr>
                  </pic:nvPicPr>
                  <pic:blipFill>
                    <a:blip r:embed="rId64"/>
                    <a:stretch>
                      <a:fillRect/>
                    </a:stretch>
                  </pic:blipFill>
                  <pic:spPr bwMode="auto">
                    <a:xfrm>
                      <a:off x="0" y="0"/>
                      <a:ext cx="5943600" cy="5956181"/>
                    </a:xfrm>
                    <a:prstGeom prst="rect">
                      <a:avLst/>
                    </a:prstGeom>
                    <a:noFill/>
                    <a:ln w="9525">
                      <a:noFill/>
                      <a:headEnd/>
                      <a:tailEnd/>
                    </a:ln>
                  </pic:spPr>
                </pic:pic>
              </a:graphicData>
            </a:graphic>
          </wp:inline>
        </w:drawing>
      </w:r>
      <w:bookmarkEnd w:id="67"/>
    </w:p>
    <w:p>
      <w:pPr>
        <w:pStyle w:val="ImageCaption"/>
      </w:pPr>
      <w:r>
        <w:t xml:space="preserve">Figure 2: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raster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w:t>
      </w:r>
      <w:r>
        <w:t xml:space="preserve"> </w:t>
      </w:r>
      <w:r>
        <w:t xml:space="preserve">(D+E) Representative micrographs takne with a condensed beam at eucentric focus</w:t>
      </w:r>
      <w:r>
        <w:t xml:space="preserve"> </w:t>
      </w:r>
      <w:r>
        <w:t xml:space="preserve">(D) or fringe-free focus (E)</w:t>
      </w:r>
      <w:r>
        <w:t xml:space="preserve"> </w:t>
      </w:r>
      <w:r>
        <w:t xml:space="preserve">(F) Boxplot of defocus measured by ctffind of micrographs taken by the DeCo-Lace</w:t>
      </w:r>
      <w:r>
        <w:t xml:space="preserve"> </w:t>
      </w:r>
      <w:r>
        <w:t xml:space="preserve">approach on 4 lamella images at eucentric focus and 4 lamella imaged with</w:t>
      </w:r>
      <w:r>
        <w:t xml:space="preserve"> </w:t>
      </w:r>
      <w:r>
        <w:t xml:space="preserve">fringe-free focus.</w:t>
      </w:r>
      <w:r>
        <w:t xml:space="preserve"> </w:t>
      </w:r>
      <w:r>
        <w:t xml:space="preserve">(F+G) Lamella overview images of lamella imaged at eucentric focus (F) Overview</w:t>
      </w:r>
      <w:r>
        <w:t xml:space="preserve"> </w:t>
      </w:r>
      <w:r>
        <w:t xml:space="preserve">image taken at low magnification (40Å pixel size) (G) Overview created by</w:t>
      </w:r>
      <w:r>
        <w:t xml:space="preserve"> </w:t>
      </w:r>
      <w:r>
        <w:t xml:space="preserve">montaging high magnification images taken with the DeCo-Lace approach (1.5Å</w:t>
      </w:r>
      <w:r>
        <w:t xml:space="preserve"> </w:t>
      </w:r>
      <w:r>
        <w:t xml:space="preserve">pixelsize)</w:t>
      </w:r>
      <w:r>
        <w:t xml:space="preserve"> </w:t>
      </w:r>
      <w:r>
        <w:t xml:space="preserve">(H+I) Lamella overview images of lamella imaged at fringe-free focus (H) Overview</w:t>
      </w:r>
      <w:r>
        <w:t xml:space="preserve"> </w:t>
      </w:r>
      <w:r>
        <w:t xml:space="preserve">image taken at low magnification (40Å pixel size) (I) Overview created by</w:t>
      </w:r>
      <w:r>
        <w:t xml:space="preserve"> </w:t>
      </w:r>
      <w:r>
        <w:t xml:space="preserve">montaging high magnification images taken with the DeCo-Lace approach (1.5Å</w:t>
      </w:r>
      <w:r>
        <w:t xml:space="preserve"> </w:t>
      </w:r>
      <w:r>
        <w:t xml:space="preserve">pixelsize)</w:t>
      </w:r>
    </w:p>
    <w:bookmarkEnd w:id="0"/>
    <w:bookmarkStart w:id="0" w:name="fig:lamella_images"/>
    <w:p>
      <w:pPr>
        <w:pStyle w:val="CaptionedFigure"/>
      </w:pPr>
      <w:bookmarkStart w:id="71" w:name="fig:lamella_images"/>
      <w:r>
        <w:drawing>
          <wp:inline>
            <wp:extent cx="5943600" cy="3097617"/>
            <wp:effectExtent b="0" l="0" r="0" t="0"/>
            <wp:docPr descr="Figure S2: Overview images of lamellae imaged using the DeCo-LACE approach taken at low-magnification" title="" id="69" name="Picture"/>
            <a:graphic>
              <a:graphicData uri="http://schemas.openxmlformats.org/drawingml/2006/picture">
                <pic:pic>
                  <pic:nvPicPr>
                    <pic:cNvPr descr="figures/lamella_images.png" id="70" name="Picture"/>
                    <pic:cNvPicPr>
                      <a:picLocks noChangeArrowheads="1" noChangeAspect="1"/>
                    </pic:cNvPicPr>
                  </pic:nvPicPr>
                  <pic:blipFill>
                    <a:blip r:embed="rId68"/>
                    <a:stretch>
                      <a:fillRect/>
                    </a:stretch>
                  </pic:blipFill>
                  <pic:spPr bwMode="auto">
                    <a:xfrm>
                      <a:off x="0" y="0"/>
                      <a:ext cx="5943600" cy="3097617"/>
                    </a:xfrm>
                    <a:prstGeom prst="rect">
                      <a:avLst/>
                    </a:prstGeom>
                    <a:noFill/>
                    <a:ln w="9525">
                      <a:noFill/>
                      <a:headEnd/>
                      <a:tailEnd/>
                    </a:ln>
                  </pic:spPr>
                </pic:pic>
              </a:graphicData>
            </a:graphic>
          </wp:inline>
        </w:drawing>
      </w:r>
      <w:bookmarkEnd w:id="71"/>
    </w:p>
    <w:p>
      <w:pPr>
        <w:pStyle w:val="ImageCaption"/>
      </w:pPr>
      <w:r>
        <w:t xml:space="preserve">Figure S2: Overview images of lamellae imaged using the DeCo-LACE approach taken at low-magnification</w:t>
      </w:r>
    </w:p>
    <w:bookmarkEnd w:id="0"/>
    <w:bookmarkStart w:id="0" w:name="fig:lamella_spatial_info"/>
    <w:p>
      <w:pPr>
        <w:pStyle w:val="CaptionedFigure"/>
      </w:pPr>
      <w:bookmarkStart w:id="75" w:name="fig:lamella_spatial_info"/>
      <w:r>
        <w:drawing>
          <wp:inline>
            <wp:extent cx="5943600" cy="6346214"/>
            <wp:effectExtent b="0" l="0" r="0" t="0"/>
            <wp:docPr descr="Figure S3: Defocus estimation of individual tiles of DeCo-Lace montages (A) Defocus values of individual micrographs taken using the DeCo-Lace approach plotted as a function of the Beam-Image-Shift values. (B) Defocus astigmatism of individual micrographs taken using the DeCo-Lace approach plotted as a function of the Beam-Image-Shift values." title="" id="73" name="Picture"/>
            <a:graphic>
              <a:graphicData uri="http://schemas.openxmlformats.org/drawingml/2006/picture">
                <pic:pic>
                  <pic:nvPicPr>
                    <pic:cNvPr descr="figures/lamella_spatial_info.png" id="74" name="Picture"/>
                    <pic:cNvPicPr>
                      <a:picLocks noChangeArrowheads="1" noChangeAspect="1"/>
                    </pic:cNvPicPr>
                  </pic:nvPicPr>
                  <pic:blipFill>
                    <a:blip r:embed="rId72"/>
                    <a:stretch>
                      <a:fillRect/>
                    </a:stretch>
                  </pic:blipFill>
                  <pic:spPr bwMode="auto">
                    <a:xfrm>
                      <a:off x="0" y="0"/>
                      <a:ext cx="5943600" cy="6346214"/>
                    </a:xfrm>
                    <a:prstGeom prst="rect">
                      <a:avLst/>
                    </a:prstGeom>
                    <a:noFill/>
                    <a:ln w="9525">
                      <a:noFill/>
                      <a:headEnd/>
                      <a:tailEnd/>
                    </a:ln>
                  </pic:spPr>
                </pic:pic>
              </a:graphicData>
            </a:graphic>
          </wp:inline>
        </w:drawing>
      </w:r>
      <w:bookmarkEnd w:id="75"/>
    </w:p>
    <w:p>
      <w:pPr>
        <w:pStyle w:val="ImageCaption"/>
      </w:pPr>
      <w:r>
        <w:t xml:space="preserve">Figure S3: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Beam-Image-Shift values.</w:t>
      </w:r>
      <w:r>
        <w:t xml:space="preserve"> </w:t>
      </w:r>
      <w:r>
        <w:t xml:space="preserve">(B) Defocus astigmatism of individual micrographs taken using the DeCo-Lace approach</w:t>
      </w:r>
      <w:r>
        <w:t xml:space="preserve"> </w:t>
      </w:r>
      <w:r>
        <w:t xml:space="preserve">plotted as a function of the Beam-Image-Shift values.</w:t>
      </w:r>
    </w:p>
    <w:bookmarkEnd w:id="0"/>
    <w:bookmarkStart w:id="0" w:name="fig:crop_unblur"/>
    <w:p>
      <w:pPr>
        <w:pStyle w:val="CaptionedFigure"/>
      </w:pPr>
      <w:bookmarkStart w:id="79" w:name="fig:crop_unblur"/>
      <w:r>
        <w:drawing>
          <wp:inline>
            <wp:extent cx="5943600" cy="3985885"/>
            <wp:effectExtent b="0" l="0" r="0" t="0"/>
            <wp:docPr descr="Figure S4: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hte cropped region to estimate the shifts" title="" id="77" name="Picture"/>
            <a:graphic>
              <a:graphicData uri="http://schemas.openxmlformats.org/drawingml/2006/picture">
                <pic:pic>
                  <pic:nvPicPr>
                    <pic:cNvPr descr="figures/crop_unblur.png" id="78" name="Picture"/>
                    <pic:cNvPicPr>
                      <a:picLocks noChangeArrowheads="1" noChangeAspect="1"/>
                    </pic:cNvPicPr>
                  </pic:nvPicPr>
                  <pic:blipFill>
                    <a:blip r:embed="rId76"/>
                    <a:stretch>
                      <a:fillRect/>
                    </a:stretch>
                  </pic:blipFill>
                  <pic:spPr bwMode="auto">
                    <a:xfrm>
                      <a:off x="0" y="0"/>
                      <a:ext cx="5943600" cy="3985885"/>
                    </a:xfrm>
                    <a:prstGeom prst="rect">
                      <a:avLst/>
                    </a:prstGeom>
                    <a:noFill/>
                    <a:ln w="9525">
                      <a:noFill/>
                      <a:headEnd/>
                      <a:tailEnd/>
                    </a:ln>
                  </pic:spPr>
                </pic:pic>
              </a:graphicData>
            </a:graphic>
          </wp:inline>
        </w:drawing>
      </w:r>
      <w:bookmarkEnd w:id="79"/>
    </w:p>
    <w:p>
      <w:pPr>
        <w:pStyle w:val="ImageCaption"/>
      </w:pPr>
      <w:r>
        <w:t xml:space="preserve">Figure S4: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hte cropped region to</w:t>
      </w:r>
      <w:r>
        <w:t xml:space="preserve"> </w:t>
      </w:r>
      <w:r>
        <w:t xml:space="preserve">estimate the shifts</w:t>
      </w:r>
    </w:p>
    <w:bookmarkEnd w:id="0"/>
    <w:bookmarkStart w:id="0" w:name="fig:lamella_motion_thickness"/>
    <w:p>
      <w:pPr>
        <w:pStyle w:val="CaptionedFigure"/>
      </w:pPr>
      <w:bookmarkStart w:id="83" w:name="fig:lamella_motion_thickness"/>
      <w:r>
        <w:drawing>
          <wp:inline>
            <wp:extent cx="5943600" cy="6346214"/>
            <wp:effectExtent b="0" l="0" r="0" t="0"/>
            <wp:docPr descr="Figure S5: Motion correction of individual tiles imaged using the DeCo-LACE approach (A) Total estimated motion of individual micrographs taken using the DeCo-Lace approach plotted as a function of the Beam-Image-Shift values. (B) Electron intensity of individual micrographs taken using the DeCo-Lace approach plotted as a function of the Beam-Image-Shift values." title="" id="81" name="Picture"/>
            <a:graphic>
              <a:graphicData uri="http://schemas.openxmlformats.org/drawingml/2006/picture">
                <pic:pic>
                  <pic:nvPicPr>
                    <pic:cNvPr descr="figures/lamella_motion_thickness.png" id="82" name="Picture"/>
                    <pic:cNvPicPr>
                      <a:picLocks noChangeArrowheads="1" noChangeAspect="1"/>
                    </pic:cNvPicPr>
                  </pic:nvPicPr>
                  <pic:blipFill>
                    <a:blip r:embed="rId80"/>
                    <a:stretch>
                      <a:fillRect/>
                    </a:stretch>
                  </pic:blipFill>
                  <pic:spPr bwMode="auto">
                    <a:xfrm>
                      <a:off x="0" y="0"/>
                      <a:ext cx="5943600" cy="6346214"/>
                    </a:xfrm>
                    <a:prstGeom prst="rect">
                      <a:avLst/>
                    </a:prstGeom>
                    <a:noFill/>
                    <a:ln w="9525">
                      <a:noFill/>
                      <a:headEnd/>
                      <a:tailEnd/>
                    </a:ln>
                  </pic:spPr>
                </pic:pic>
              </a:graphicData>
            </a:graphic>
          </wp:inline>
        </w:drawing>
      </w:r>
      <w:bookmarkEnd w:id="83"/>
    </w:p>
    <w:p>
      <w:pPr>
        <w:pStyle w:val="ImageCaption"/>
      </w:pPr>
      <w:r>
        <w:t xml:space="preserve">Figure S5: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Beam-Image-Shift values.</w:t>
      </w:r>
      <w:r>
        <w:t xml:space="preserve"> </w:t>
      </w:r>
      <w:r>
        <w:t xml:space="preserve">(B) Electron intensity of individual micrographs taken using the DeCo-Lace approach</w:t>
      </w:r>
      <w:r>
        <w:t xml:space="preserve"> </w:t>
      </w:r>
      <w:r>
        <w:t xml:space="preserve">plotted as a function of the Beam-Image-Shift values.</w:t>
      </w:r>
    </w:p>
    <w:bookmarkEnd w:id="0"/>
    <w:bookmarkStart w:id="0" w:name="fig:matching_stat"/>
    <w:p>
      <w:pPr>
        <w:pStyle w:val="CaptionedFigure"/>
      </w:pPr>
      <w:bookmarkStart w:id="87" w:name="fig:matching_stat"/>
      <w:r>
        <w:drawing>
          <wp:inline>
            <wp:extent cx="5943600" cy="3927973"/>
            <wp:effectExtent b="0" l="0" r="0" t="0"/>
            <wp:docPr descr="Figure 3: Statistics of 2DTM on lamella imaged using DeCo-LACE (A) Number of matches of each lamella (B) Distribution of matches per tile in each lamella. Only tiles with two or more matches were included (C) Distribution of SNRs in each lamella (D) For each lamella an average of all tiles is shown. Overlaid is a scatterplot of all matches in these tiles according to their in-tile coordinates. Scatterplot is color according to the SNR. There are no matches in the top circle-circle intersection due to radiation damage from previous exposures." title="" id="85" name="Picture"/>
            <a:graphic>
              <a:graphicData uri="http://schemas.openxmlformats.org/drawingml/2006/picture">
                <pic:pic>
                  <pic:nvPicPr>
                    <pic:cNvPr descr="figures/matching_stat.png" id="86" name="Picture"/>
                    <pic:cNvPicPr>
                      <a:picLocks noChangeArrowheads="1" noChangeAspect="1"/>
                    </pic:cNvPicPr>
                  </pic:nvPicPr>
                  <pic:blipFill>
                    <a:blip r:embed="rId84"/>
                    <a:stretch>
                      <a:fillRect/>
                    </a:stretch>
                  </pic:blipFill>
                  <pic:spPr bwMode="auto">
                    <a:xfrm>
                      <a:off x="0" y="0"/>
                      <a:ext cx="5943600" cy="3927973"/>
                    </a:xfrm>
                    <a:prstGeom prst="rect">
                      <a:avLst/>
                    </a:prstGeom>
                    <a:noFill/>
                    <a:ln w="9525">
                      <a:noFill/>
                      <a:headEnd/>
                      <a:tailEnd/>
                    </a:ln>
                  </pic:spPr>
                </pic:pic>
              </a:graphicData>
            </a:graphic>
          </wp:inline>
        </w:drawing>
      </w:r>
      <w:bookmarkEnd w:id="87"/>
    </w:p>
    <w:p>
      <w:pPr>
        <w:pStyle w:val="ImageCaption"/>
      </w:pPr>
      <w:r>
        <w:t xml:space="preserve">Figure 3: Statistics of 2DTM on lamella imaged using DeCo-LACE (A) Number of matches of</w:t>
      </w:r>
      <w:r>
        <w:t xml:space="preserve"> </w:t>
      </w:r>
      <w:r>
        <w:t xml:space="preserve">each lamella (B) Distribution of matches per tile in each lamella. Only tiles</w:t>
      </w:r>
      <w:r>
        <w:t xml:space="preserve"> </w:t>
      </w:r>
      <w:r>
        <w:t xml:space="preserve">with two or more matches were included (C) Distribution of SNRs in each lamella</w:t>
      </w:r>
      <w:r>
        <w:t xml:space="preserve"> </w:t>
      </w:r>
      <w:r>
        <w:t xml:space="preserve">(D) For each lamella an average of all tiles is shown. Overlaid is a scatterplot</w:t>
      </w:r>
      <w:r>
        <w:t xml:space="preserve"> </w:t>
      </w:r>
      <w:r>
        <w:t xml:space="preserve">of all matches in these tiles according to their in-tile coordinates.</w:t>
      </w:r>
      <w:r>
        <w:t xml:space="preserve"> </w:t>
      </w:r>
      <w:r>
        <w:t xml:space="preserve">Scatterplot is color according to the SNR. There are no matches in the top</w:t>
      </w:r>
      <w:r>
        <w:t xml:space="preserve"> </w:t>
      </w:r>
      <w:r>
        <w:t xml:space="preserve">circle-circle intersection due to radiation damage from previous exposures.</w:t>
      </w:r>
    </w:p>
    <w:bookmarkEnd w:id="0"/>
    <w:bookmarkStart w:id="0" w:name="fig:matching_euc"/>
    <w:p>
      <w:pPr>
        <w:pStyle w:val="CaptionedFigure"/>
      </w:pPr>
      <w:bookmarkStart w:id="91" w:name="fig:matching_euc"/>
      <w:r>
        <w:drawing>
          <wp:inline>
            <wp:extent cx="5943600" cy="4383700"/>
            <wp:effectExtent b="0" l="0" r="0" t="0"/>
            <wp:docPr descr="Figure 4: Template matching in lamella imaged using the DeCo-Lace approach at eucentric focus (A) Montage of Lamella_\textrm{EUC} 1 overlaid with matches according to their montage coordinates (B) Side view of matche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title="" id="89" name="Picture"/>
            <a:graphic>
              <a:graphicData uri="http://schemas.openxmlformats.org/drawingml/2006/picture">
                <pic:pic>
                  <pic:nvPicPr>
                    <pic:cNvPr descr="figures/matching_euc.png" id="90" name="Picture"/>
                    <pic:cNvPicPr>
                      <a:picLocks noChangeArrowheads="1" noChangeAspect="1"/>
                    </pic:cNvPicPr>
                  </pic:nvPicPr>
                  <pic:blipFill>
                    <a:blip r:embed="rId88"/>
                    <a:stretch>
                      <a:fillRect/>
                    </a:stretch>
                  </pic:blipFill>
                  <pic:spPr bwMode="auto">
                    <a:xfrm>
                      <a:off x="0" y="0"/>
                      <a:ext cx="5943600" cy="4383700"/>
                    </a:xfrm>
                    <a:prstGeom prst="rect">
                      <a:avLst/>
                    </a:prstGeom>
                    <a:noFill/>
                    <a:ln w="9525">
                      <a:noFill/>
                      <a:headEnd/>
                      <a:tailEnd/>
                    </a:ln>
                  </pic:spPr>
                </pic:pic>
              </a:graphicData>
            </a:graphic>
          </wp:inline>
        </w:drawing>
      </w:r>
      <w:bookmarkEnd w:id="91"/>
    </w:p>
    <w:p>
      <w:pPr>
        <w:pStyle w:val="ImageCaption"/>
      </w:pPr>
      <w:r>
        <w:t xml:space="preserve">Figure 4: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matches according to</w:t>
      </w:r>
      <w:r>
        <w:t xml:space="preserve"> </w:t>
      </w:r>
      <w:r>
        <w:t xml:space="preserve">their montage coordinates (B) Side view of matches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w:t>
      </w:r>
    </w:p>
    <w:bookmarkEnd w:id="0"/>
    <w:bookmarkStart w:id="0" w:name="fig:matching_fff"/>
    <w:p>
      <w:pPr>
        <w:pStyle w:val="CaptionedFigure"/>
      </w:pPr>
      <w:bookmarkStart w:id="95" w:name="fig:matching_fff"/>
      <w:r>
        <w:drawing>
          <wp:inline>
            <wp:extent cx="5943600" cy="4383700"/>
            <wp:effectExtent b="0" l="0" r="0" t="0"/>
            <wp:docPr descr="Figure 5: Template matching in lamella imaged using the DeCo-Lace approach at fringe-free focus (A) Montage of Lamella_\textrm{FFF} 4 overlaid with matches according to their montage coordinates (B) Side view of matches in the lamella, such that the direction of the electron beam is horizontal. (C-E) Magnified area of panel A showing rough ER with associated ribosomes(C) and ribosomes enclosed in a less electron dense inclusion in a granule(D,E). (F) Side view of panel E with ribosomes situated inside the granule colored accoding to SNR and other ribosomes colored in grey." title="" id="93" name="Picture"/>
            <a:graphic>
              <a:graphicData uri="http://schemas.openxmlformats.org/drawingml/2006/picture">
                <pic:pic>
                  <pic:nvPicPr>
                    <pic:cNvPr descr="figures/matching_fff.png" id="94" name="Picture"/>
                    <pic:cNvPicPr>
                      <a:picLocks noChangeArrowheads="1" noChangeAspect="1"/>
                    </pic:cNvPicPr>
                  </pic:nvPicPr>
                  <pic:blipFill>
                    <a:blip r:embed="rId92"/>
                    <a:stretch>
                      <a:fillRect/>
                    </a:stretch>
                  </pic:blipFill>
                  <pic:spPr bwMode="auto">
                    <a:xfrm>
                      <a:off x="0" y="0"/>
                      <a:ext cx="5943600" cy="4383700"/>
                    </a:xfrm>
                    <a:prstGeom prst="rect">
                      <a:avLst/>
                    </a:prstGeom>
                    <a:noFill/>
                    <a:ln w="9525">
                      <a:noFill/>
                      <a:headEnd/>
                      <a:tailEnd/>
                    </a:ln>
                  </pic:spPr>
                </pic:pic>
              </a:graphicData>
            </a:graphic>
          </wp:inline>
        </w:drawing>
      </w:r>
      <w:bookmarkEnd w:id="95"/>
    </w:p>
    <w:p>
      <w:pPr>
        <w:pStyle w:val="ImageCaption"/>
      </w:pPr>
      <w:r>
        <w:t xml:space="preserve">Figure 5: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matches according to</w:t>
      </w:r>
      <w:r>
        <w:t xml:space="preserve"> </w:t>
      </w:r>
      <w:r>
        <w:t xml:space="preserve">their montage coordinates (B) Side view of matches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with ribosomes situated inside the granule colored accoding</w:t>
      </w:r>
      <w:r>
        <w:t xml:space="preserve"> </w:t>
      </w:r>
      <w:r>
        <w:t xml:space="preserve">to SNR and other ribosomes colored in grey.</w:t>
      </w:r>
    </w:p>
    <w:bookmarkEnd w:id="0"/>
    <w:bookmarkStart w:id="0" w:name="fig:deco_lace_workflow"/>
    <w:p>
      <w:pPr>
        <w:pStyle w:val="CaptionedFigure"/>
      </w:pPr>
      <w:bookmarkStart w:id="99" w:name="fig:deco_lace_workflow"/>
      <w:r>
        <w:drawing>
          <wp:inline>
            <wp:extent cx="5943600" cy="5943600"/>
            <wp:effectExtent b="0" l="0" r="0" t="0"/>
            <wp:docPr descr="Figure 6: Workflow of DeCo-Lace processing" title="" id="97" name="Picture"/>
            <a:graphic>
              <a:graphicData uri="http://schemas.openxmlformats.org/drawingml/2006/picture">
                <pic:pic>
                  <pic:nvPicPr>
                    <pic:cNvPr descr="figures/deco_lace_workflow.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bookmarkEnd w:id="99"/>
    </w:p>
    <w:p>
      <w:pPr>
        <w:pStyle w:val="ImageCaption"/>
      </w:pPr>
      <w:r>
        <w:t xml:space="preserve">Figure 6: Workflow of DeCo-Lace processing</w:t>
      </w:r>
    </w:p>
    <w:bookmarkEnd w:id="0"/>
    <w:bookmarkEnd w:id="100"/>
    <w:bookmarkStart w:id="155" w:name="references"/>
    <w:p>
      <w:pPr>
        <w:pStyle w:val="Heading2"/>
      </w:pPr>
      <w:r>
        <w:t xml:space="preserve">References</w:t>
      </w:r>
    </w:p>
    <w:bookmarkStart w:id="154" w:name="refs"/>
    <w:bookmarkStart w:id="10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01">
        <w:r>
          <w:rPr>
            <w:rStyle w:val="Hyperlink"/>
          </w:rPr>
          <w:t xml:space="preserve">https://doi.org/fshgnc</w:t>
        </w:r>
      </w:hyperlink>
      <w:r>
        <w:t xml:space="preserve"> </w:t>
      </w:r>
      <w:r>
        <w:t xml:space="preserve">DOI:</w:t>
      </w:r>
      <w:r>
        <w:t xml:space="preserve"> </w:t>
      </w:r>
      <w:hyperlink r:id="rId102">
        <w:r>
          <w:rPr>
            <w:rStyle w:val="Hyperlink"/>
          </w:rPr>
          <w:t xml:space="preserve">10.1038/nbt.1592</w:t>
        </w:r>
      </w:hyperlink>
      <w:r>
        <w:t xml:space="preserve"> </w:t>
      </w:r>
      <w:r>
        <w:t xml:space="preserve">· PMID:</w:t>
      </w:r>
      <w:r>
        <w:t xml:space="preserve"> </w:t>
      </w:r>
      <w:hyperlink r:id="rId103">
        <w:r>
          <w:rPr>
            <w:rStyle w:val="Hyperlink"/>
          </w:rPr>
          <w:t xml:space="preserve">20010810</w:t>
        </w:r>
      </w:hyperlink>
      <w:r>
        <w:t xml:space="preserve"> </w:t>
      </w:r>
      <w:r>
        <w:t xml:space="preserve">· PMCID:</w:t>
      </w:r>
      <w:r>
        <w:t xml:space="preserve"> </w:t>
      </w:r>
      <w:hyperlink r:id="rId104">
        <w:r>
          <w:rPr>
            <w:rStyle w:val="Hyperlink"/>
          </w:rPr>
          <w:t xml:space="preserve">PMC2805705</w:t>
        </w:r>
      </w:hyperlink>
    </w:p>
    <w:bookmarkEnd w:id="105"/>
    <w:bookmarkStart w:id="10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6">
        <w:r>
          <w:rPr>
            <w:rStyle w:val="Hyperlink"/>
          </w:rPr>
          <w:t xml:space="preserve">https://doi.org/bbpg4n</w:t>
        </w:r>
      </w:hyperlink>
      <w:r>
        <w:t xml:space="preserve"> </w:t>
      </w:r>
      <w:r>
        <w:t xml:space="preserve">DOI:</w:t>
      </w:r>
      <w:r>
        <w:t xml:space="preserve"> </w:t>
      </w:r>
      <w:hyperlink r:id="rId107">
        <w:r>
          <w:rPr>
            <w:rStyle w:val="Hyperlink"/>
          </w:rPr>
          <w:t xml:space="preserve">10.1038/nmeth817</w:t>
        </w:r>
      </w:hyperlink>
      <w:r>
        <w:t xml:space="preserve"> </w:t>
      </w:r>
      <w:r>
        <w:t xml:space="preserve">· PMID:</w:t>
      </w:r>
      <w:r>
        <w:t xml:space="preserve"> </w:t>
      </w:r>
      <w:hyperlink r:id="rId108">
        <w:r>
          <w:rPr>
            <w:rStyle w:val="Hyperlink"/>
          </w:rPr>
          <w:t xml:space="preserve">16299476</w:t>
        </w:r>
      </w:hyperlink>
    </w:p>
    <w:bookmarkEnd w:id="109"/>
    <w:bookmarkStart w:id="11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10">
        <w:r>
          <w:rPr>
            <w:rStyle w:val="Hyperlink"/>
          </w:rPr>
          <w:t xml:space="preserve">https://doi.org/d6d5mq</w:t>
        </w:r>
      </w:hyperlink>
      <w:r>
        <w:t xml:space="preserve"> </w:t>
      </w:r>
      <w:r>
        <w:t xml:space="preserve">DOI:</w:t>
      </w:r>
      <w:r>
        <w:t xml:space="preserve"> </w:t>
      </w:r>
      <w:hyperlink r:id="rId111">
        <w:r>
          <w:rPr>
            <w:rStyle w:val="Hyperlink"/>
          </w:rPr>
          <w:t xml:space="preserve">10.1038/nrm1861</w:t>
        </w:r>
      </w:hyperlink>
      <w:r>
        <w:t xml:space="preserve"> </w:t>
      </w:r>
      <w:r>
        <w:t xml:space="preserve">· PMID:</w:t>
      </w:r>
      <w:r>
        <w:t xml:space="preserve"> </w:t>
      </w:r>
      <w:hyperlink r:id="rId112">
        <w:r>
          <w:rPr>
            <w:rStyle w:val="Hyperlink"/>
          </w:rPr>
          <w:t xml:space="preserve">16482091</w:t>
        </w:r>
      </w:hyperlink>
    </w:p>
    <w:bookmarkEnd w:id="113"/>
    <w:bookmarkStart w:id="11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4">
        <w:r>
          <w:rPr>
            <w:rStyle w:val="Hyperlink"/>
          </w:rPr>
          <w:t xml:space="preserve">https://doi.org/bdnzmv</w:t>
        </w:r>
      </w:hyperlink>
      <w:r>
        <w:t xml:space="preserve"> </w:t>
      </w:r>
      <w:r>
        <w:t xml:space="preserve">DOI:</w:t>
      </w:r>
      <w:r>
        <w:t xml:space="preserve"> </w:t>
      </w:r>
      <w:hyperlink r:id="rId115">
        <w:r>
          <w:rPr>
            <w:rStyle w:val="Hyperlink"/>
          </w:rPr>
          <w:t xml:space="preserve">10.1111/j.1365-2818.1983.tb04225.x</w:t>
        </w:r>
      </w:hyperlink>
      <w:r>
        <w:t xml:space="preserve"> </w:t>
      </w:r>
      <w:r>
        <w:t xml:space="preserve">· PMID:</w:t>
      </w:r>
      <w:r>
        <w:t xml:space="preserve"> </w:t>
      </w:r>
      <w:hyperlink r:id="rId116">
        <w:r>
          <w:rPr>
            <w:rStyle w:val="Hyperlink"/>
          </w:rPr>
          <w:t xml:space="preserve">6350598</w:t>
        </w:r>
      </w:hyperlink>
    </w:p>
    <w:bookmarkEnd w:id="117"/>
    <w:bookmarkStart w:id="12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8">
        <w:r>
          <w:rPr>
            <w:rStyle w:val="Hyperlink"/>
          </w:rPr>
          <w:t xml:space="preserve">https://doi.org/f537jp</w:t>
        </w:r>
      </w:hyperlink>
      <w:r>
        <w:t xml:space="preserve"> </w:t>
      </w:r>
      <w:r>
        <w:t xml:space="preserve">DOI:</w:t>
      </w:r>
      <w:r>
        <w:t xml:space="preserve"> </w:t>
      </w:r>
      <w:hyperlink r:id="rId119">
        <w:r>
          <w:rPr>
            <w:rStyle w:val="Hyperlink"/>
          </w:rPr>
          <w:t xml:space="preserve">10.1016/j.sbi.2013.08.006</w:t>
        </w:r>
      </w:hyperlink>
      <w:r>
        <w:t xml:space="preserve"> </w:t>
      </w:r>
      <w:r>
        <w:t xml:space="preserve">· PMID:</w:t>
      </w:r>
      <w:r>
        <w:t xml:space="preserve"> </w:t>
      </w:r>
      <w:hyperlink r:id="rId120">
        <w:r>
          <w:rPr>
            <w:rStyle w:val="Hyperlink"/>
          </w:rPr>
          <w:t xml:space="preserve">24090931</w:t>
        </w:r>
      </w:hyperlink>
    </w:p>
    <w:bookmarkEnd w:id="121"/>
    <w:bookmarkStart w:id="12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22">
        <w:r>
          <w:rPr>
            <w:rStyle w:val="Hyperlink"/>
          </w:rPr>
          <w:t xml:space="preserve">https://doi.org/czj9hr</w:t>
        </w:r>
      </w:hyperlink>
      <w:r>
        <w:t xml:space="preserve"> </w:t>
      </w:r>
      <w:r>
        <w:t xml:space="preserve">DOI:</w:t>
      </w:r>
      <w:r>
        <w:t xml:space="preserve"> </w:t>
      </w:r>
      <w:hyperlink r:id="rId123">
        <w:r>
          <w:rPr>
            <w:rStyle w:val="Hyperlink"/>
          </w:rPr>
          <w:t xml:space="preserve">10.1017/s0033583511000102</w:t>
        </w:r>
      </w:hyperlink>
      <w:r>
        <w:t xml:space="preserve"> </w:t>
      </w:r>
      <w:r>
        <w:t xml:space="preserve">· PMID:</w:t>
      </w:r>
      <w:r>
        <w:t xml:space="preserve"> </w:t>
      </w:r>
      <w:hyperlink r:id="rId124">
        <w:r>
          <w:rPr>
            <w:rStyle w:val="Hyperlink"/>
          </w:rPr>
          <w:t xml:space="preserve">22082691</w:t>
        </w:r>
      </w:hyperlink>
    </w:p>
    <w:bookmarkEnd w:id="125"/>
    <w:bookmarkStart w:id="13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6">
        <w:r>
          <w:rPr>
            <w:rStyle w:val="Hyperlink"/>
          </w:rPr>
          <w:t xml:space="preserve">https://doi.org/gnq4q4</w:t>
        </w:r>
      </w:hyperlink>
      <w:r>
        <w:t xml:space="preserve"> </w:t>
      </w:r>
      <w:r>
        <w:t xml:space="preserve">DOI:</w:t>
      </w:r>
      <w:r>
        <w:t xml:space="preserve"> </w:t>
      </w:r>
      <w:hyperlink r:id="rId127">
        <w:r>
          <w:rPr>
            <w:rStyle w:val="Hyperlink"/>
          </w:rPr>
          <w:t xml:space="preserve">10.7554/elife.25648</w:t>
        </w:r>
      </w:hyperlink>
      <w:r>
        <w:t xml:space="preserve"> </w:t>
      </w:r>
      <w:r>
        <w:t xml:space="preserve">· PMID:</w:t>
      </w:r>
      <w:r>
        <w:t xml:space="preserve"> </w:t>
      </w:r>
      <w:hyperlink r:id="rId128">
        <w:r>
          <w:rPr>
            <w:rStyle w:val="Hyperlink"/>
          </w:rPr>
          <w:t xml:space="preserve">28467302</w:t>
        </w:r>
      </w:hyperlink>
      <w:r>
        <w:t xml:space="preserve"> </w:t>
      </w:r>
      <w:r>
        <w:t xml:space="preserve">· PMCID:</w:t>
      </w:r>
      <w:r>
        <w:t xml:space="preserve"> </w:t>
      </w:r>
      <w:hyperlink r:id="rId129">
        <w:r>
          <w:rPr>
            <w:rStyle w:val="Hyperlink"/>
          </w:rPr>
          <w:t xml:space="preserve">PMC5453696</w:t>
        </w:r>
      </w:hyperlink>
    </w:p>
    <w:bookmarkEnd w:id="130"/>
    <w:bookmarkStart w:id="13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31">
        <w:r>
          <w:rPr>
            <w:rStyle w:val="Hyperlink"/>
          </w:rPr>
          <w:t xml:space="preserve">https://doi.org/gpbjfd</w:t>
        </w:r>
      </w:hyperlink>
      <w:r>
        <w:t xml:space="preserve"> </w:t>
      </w:r>
      <w:r>
        <w:t xml:space="preserve">DOI:</w:t>
      </w:r>
      <w:r>
        <w:t xml:space="preserve"> </w:t>
      </w:r>
      <w:hyperlink r:id="rId132">
        <w:r>
          <w:rPr>
            <w:rStyle w:val="Hyperlink"/>
          </w:rPr>
          <w:t xml:space="preserve">10.1101/2020.04.22.053868</w:t>
        </w:r>
      </w:hyperlink>
    </w:p>
    <w:bookmarkEnd w:id="133"/>
    <w:bookmarkStart w:id="13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4">
        <w:r>
          <w:rPr>
            <w:rStyle w:val="Hyperlink"/>
          </w:rPr>
          <w:t xml:space="preserve">https://doi.org/gkkc49</w:t>
        </w:r>
      </w:hyperlink>
      <w:r>
        <w:t xml:space="preserve"> </w:t>
      </w:r>
      <w:r>
        <w:t xml:space="preserve">DOI:</w:t>
      </w:r>
      <w:r>
        <w:t xml:space="preserve"> </w:t>
      </w:r>
      <w:hyperlink r:id="rId135">
        <w:r>
          <w:rPr>
            <w:rStyle w:val="Hyperlink"/>
          </w:rPr>
          <w:t xml:space="preserve">10.7554/elife.68946</w:t>
        </w:r>
      </w:hyperlink>
      <w:r>
        <w:t xml:space="preserve"> </w:t>
      </w:r>
      <w:r>
        <w:t xml:space="preserve">· PMID:</w:t>
      </w:r>
      <w:r>
        <w:t xml:space="preserve"> </w:t>
      </w:r>
      <w:hyperlink r:id="rId136">
        <w:r>
          <w:rPr>
            <w:rStyle w:val="Hyperlink"/>
          </w:rPr>
          <w:t xml:space="preserve">34114559</w:t>
        </w:r>
      </w:hyperlink>
      <w:r>
        <w:t xml:space="preserve"> </w:t>
      </w:r>
      <w:r>
        <w:t xml:space="preserve">· PMCID:</w:t>
      </w:r>
      <w:r>
        <w:t xml:space="preserve"> </w:t>
      </w:r>
      <w:hyperlink r:id="rId137">
        <w:r>
          <w:rPr>
            <w:rStyle w:val="Hyperlink"/>
          </w:rPr>
          <w:t xml:space="preserve">PMC8219381</w:t>
        </w:r>
      </w:hyperlink>
    </w:p>
    <w:bookmarkEnd w:id="138"/>
    <w:bookmarkStart w:id="143"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9">
        <w:r>
          <w:rPr>
            <w:rStyle w:val="Hyperlink"/>
          </w:rPr>
          <w:t xml:space="preserve">https://doi.org/gpbjfm</w:t>
        </w:r>
      </w:hyperlink>
      <w:r>
        <w:t xml:space="preserve"> </w:t>
      </w:r>
      <w:r>
        <w:t xml:space="preserve">DOI:</w:t>
      </w:r>
      <w:r>
        <w:t xml:space="preserve"> </w:t>
      </w:r>
      <w:hyperlink r:id="rId140">
        <w:r>
          <w:rPr>
            <w:rStyle w:val="Hyperlink"/>
          </w:rPr>
          <w:t xml:space="preserve">10.1093/nar/gkz637</w:t>
        </w:r>
      </w:hyperlink>
      <w:r>
        <w:t xml:space="preserve"> </w:t>
      </w:r>
      <w:r>
        <w:t xml:space="preserve">· PMID:</w:t>
      </w:r>
      <w:r>
        <w:t xml:space="preserve"> </w:t>
      </w:r>
      <w:hyperlink r:id="rId141">
        <w:r>
          <w:rPr>
            <w:rStyle w:val="Hyperlink"/>
          </w:rPr>
          <w:t xml:space="preserve">31350888</w:t>
        </w:r>
      </w:hyperlink>
      <w:r>
        <w:t xml:space="preserve"> </w:t>
      </w:r>
      <w:r>
        <w:t xml:space="preserve">· PMCID:</w:t>
      </w:r>
      <w:r>
        <w:t xml:space="preserve"> </w:t>
      </w:r>
      <w:hyperlink r:id="rId142">
        <w:r>
          <w:rPr>
            <w:rStyle w:val="Hyperlink"/>
          </w:rPr>
          <w:t xml:space="preserve">PMC7026650</w:t>
        </w:r>
      </w:hyperlink>
    </w:p>
    <w:bookmarkEnd w:id="143"/>
    <w:bookmarkStart w:id="148"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4">
        <w:r>
          <w:rPr>
            <w:rStyle w:val="Hyperlink"/>
          </w:rPr>
          <w:t xml:space="preserve">https://doi.org/gc87j9</w:t>
        </w:r>
      </w:hyperlink>
      <w:r>
        <w:t xml:space="preserve"> </w:t>
      </w:r>
      <w:r>
        <w:t xml:space="preserve">DOI:</w:t>
      </w:r>
      <w:r>
        <w:t xml:space="preserve"> </w:t>
      </w:r>
      <w:hyperlink r:id="rId145">
        <w:r>
          <w:rPr>
            <w:rStyle w:val="Hyperlink"/>
          </w:rPr>
          <w:t xml:space="preserve">10.1186/s12885-018-4178-z</w:t>
        </w:r>
      </w:hyperlink>
      <w:r>
        <w:t xml:space="preserve"> </w:t>
      </w:r>
      <w:r>
        <w:t xml:space="preserve">· PMID:</w:t>
      </w:r>
      <w:r>
        <w:t xml:space="preserve"> </w:t>
      </w:r>
      <w:hyperlink r:id="rId146">
        <w:r>
          <w:rPr>
            <w:rStyle w:val="Hyperlink"/>
          </w:rPr>
          <w:t xml:space="preserve">29530001</w:t>
        </w:r>
      </w:hyperlink>
      <w:r>
        <w:t xml:space="preserve"> </w:t>
      </w:r>
      <w:r>
        <w:t xml:space="preserve">· PMCID:</w:t>
      </w:r>
      <w:r>
        <w:t xml:space="preserve"> </w:t>
      </w:r>
      <w:hyperlink r:id="rId147">
        <w:r>
          <w:rPr>
            <w:rStyle w:val="Hyperlink"/>
          </w:rPr>
          <w:t xml:space="preserve">PMC5848553</w:t>
        </w:r>
      </w:hyperlink>
    </w:p>
    <w:bookmarkEnd w:id="148"/>
    <w:bookmarkStart w:id="153"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End w:id="154"/>
    <w:bookmarkEnd w:id="155"/>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72" Target="media/rId7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50" Target="https://doi.org/10.1016/j.cell.2016.08.057" TargetMode="External" /><Relationship Type="http://schemas.openxmlformats.org/officeDocument/2006/relationships/hyperlink" Id="rId119" Target="https://doi.org/10.1016/j.sbi.2013.08.006" TargetMode="External" /><Relationship Type="http://schemas.openxmlformats.org/officeDocument/2006/relationships/hyperlink" Id="rId123" Target="https://doi.org/10.1017/s0033583511000102" TargetMode="External" /><Relationship Type="http://schemas.openxmlformats.org/officeDocument/2006/relationships/hyperlink" Id="rId102" Target="https://doi.org/10.1038/nbt.1592" TargetMode="External" /><Relationship Type="http://schemas.openxmlformats.org/officeDocument/2006/relationships/hyperlink" Id="rId107" Target="https://doi.org/10.1038/nmeth817" TargetMode="External" /><Relationship Type="http://schemas.openxmlformats.org/officeDocument/2006/relationships/hyperlink" Id="rId111" Target="https://doi.org/10.1038/nrm1861" TargetMode="External" /><Relationship Type="http://schemas.openxmlformats.org/officeDocument/2006/relationships/hyperlink" Id="rId140" Target="https://doi.org/10.1093/nar/gkz637" TargetMode="External" /><Relationship Type="http://schemas.openxmlformats.org/officeDocument/2006/relationships/hyperlink" Id="rId132" Target="https://doi.org/10.1101/2020.04.22.053868" TargetMode="External" /><Relationship Type="http://schemas.openxmlformats.org/officeDocument/2006/relationships/hyperlink" Id="rId115" Target="https://doi.org/10.1111/j.1365-2818.1983.tb04225.x" TargetMode="External" /><Relationship Type="http://schemas.openxmlformats.org/officeDocument/2006/relationships/hyperlink" Id="rId145" Target="https://doi.org/10.1186/s12885-018-4178-z" TargetMode="External" /><Relationship Type="http://schemas.openxmlformats.org/officeDocument/2006/relationships/hyperlink" Id="rId127" Target="https://doi.org/10.7554/elife.25648" TargetMode="External" /><Relationship Type="http://schemas.openxmlformats.org/officeDocument/2006/relationships/hyperlink" Id="rId135" Target="https://doi.org/10.7554/elife.68946" TargetMode="External" /><Relationship Type="http://schemas.openxmlformats.org/officeDocument/2006/relationships/hyperlink" Id="rId106" Target="https://doi.org/bbpg4n" TargetMode="External" /><Relationship Type="http://schemas.openxmlformats.org/officeDocument/2006/relationships/hyperlink" Id="rId114" Target="https://doi.org/bdnzmv" TargetMode="External" /><Relationship Type="http://schemas.openxmlformats.org/officeDocument/2006/relationships/hyperlink" Id="rId122" Target="https://doi.org/czj9hr" TargetMode="External" /><Relationship Type="http://schemas.openxmlformats.org/officeDocument/2006/relationships/hyperlink" Id="rId110" Target="https://doi.org/d6d5mq" TargetMode="External" /><Relationship Type="http://schemas.openxmlformats.org/officeDocument/2006/relationships/hyperlink" Id="rId149" Target="https://doi.org/f3r5jr" TargetMode="External" /><Relationship Type="http://schemas.openxmlformats.org/officeDocument/2006/relationships/hyperlink" Id="rId118" Target="https://doi.org/f537jp" TargetMode="External" /><Relationship Type="http://schemas.openxmlformats.org/officeDocument/2006/relationships/hyperlink" Id="rId101" Target="https://doi.org/fshgnc" TargetMode="External" /><Relationship Type="http://schemas.openxmlformats.org/officeDocument/2006/relationships/hyperlink" Id="rId144" Target="https://doi.org/gc87j9" TargetMode="External" /><Relationship Type="http://schemas.openxmlformats.org/officeDocument/2006/relationships/hyperlink" Id="rId134" Target="https://doi.org/gkkc49" TargetMode="External" /><Relationship Type="http://schemas.openxmlformats.org/officeDocument/2006/relationships/hyperlink" Id="rId126" Target="https://doi.org/gnq4q4" TargetMode="External" /><Relationship Type="http://schemas.openxmlformats.org/officeDocument/2006/relationships/hyperlink" Id="rId131" Target="https://doi.org/gpbjfd" TargetMode="External" /><Relationship Type="http://schemas.openxmlformats.org/officeDocument/2006/relationships/hyperlink" Id="rId139"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38fd04bb92cfffb0ea0e0e112da741a0da4b716a"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38fd04bb92cfffb0ea0e0e112da741a0da4b716a/"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4" Target="https://www.ncbi.nlm.nih.gov/pmc/articles/PMC2805705" TargetMode="External" /><Relationship Type="http://schemas.openxmlformats.org/officeDocument/2006/relationships/hyperlink" Id="rId129" Target="https://www.ncbi.nlm.nih.gov/pmc/articles/PMC5453696" TargetMode="External" /><Relationship Type="http://schemas.openxmlformats.org/officeDocument/2006/relationships/hyperlink" Id="rId147" Target="https://www.ncbi.nlm.nih.gov/pmc/articles/PMC5848553" TargetMode="External" /><Relationship Type="http://schemas.openxmlformats.org/officeDocument/2006/relationships/hyperlink" Id="rId142" Target="https://www.ncbi.nlm.nih.gov/pmc/articles/PMC7026650" TargetMode="External" /><Relationship Type="http://schemas.openxmlformats.org/officeDocument/2006/relationships/hyperlink" Id="rId152" Target="https://www.ncbi.nlm.nih.gov/pmc/articles/PMC7360335" TargetMode="External" /><Relationship Type="http://schemas.openxmlformats.org/officeDocument/2006/relationships/hyperlink" Id="rId137" Target="https://www.ncbi.nlm.nih.gov/pmc/articles/PMC8219381" TargetMode="External" /><Relationship Type="http://schemas.openxmlformats.org/officeDocument/2006/relationships/hyperlink" Id="rId108" Target="https://www.ncbi.nlm.nih.gov/pubmed/16299476" TargetMode="External" /><Relationship Type="http://schemas.openxmlformats.org/officeDocument/2006/relationships/hyperlink" Id="rId112" Target="https://www.ncbi.nlm.nih.gov/pubmed/16482091" TargetMode="External" /><Relationship Type="http://schemas.openxmlformats.org/officeDocument/2006/relationships/hyperlink" Id="rId103" Target="https://www.ncbi.nlm.nih.gov/pubmed/20010810" TargetMode="External" /><Relationship Type="http://schemas.openxmlformats.org/officeDocument/2006/relationships/hyperlink" Id="rId124" Target="https://www.ncbi.nlm.nih.gov/pubmed/22082691" TargetMode="External" /><Relationship Type="http://schemas.openxmlformats.org/officeDocument/2006/relationships/hyperlink" Id="rId120" Target="https://www.ncbi.nlm.nih.gov/pubmed/24090931" TargetMode="External" /><Relationship Type="http://schemas.openxmlformats.org/officeDocument/2006/relationships/hyperlink" Id="rId151" Target="https://www.ncbi.nlm.nih.gov/pubmed/27641501" TargetMode="External" /><Relationship Type="http://schemas.openxmlformats.org/officeDocument/2006/relationships/hyperlink" Id="rId128" Target="https://www.ncbi.nlm.nih.gov/pubmed/28467302" TargetMode="External" /><Relationship Type="http://schemas.openxmlformats.org/officeDocument/2006/relationships/hyperlink" Id="rId146" Target="https://www.ncbi.nlm.nih.gov/pubmed/29530001" TargetMode="External" /><Relationship Type="http://schemas.openxmlformats.org/officeDocument/2006/relationships/hyperlink" Id="rId141" Target="https://www.ncbi.nlm.nih.gov/pubmed/31350888" TargetMode="External" /><Relationship Type="http://schemas.openxmlformats.org/officeDocument/2006/relationships/hyperlink" Id="rId136" Target="https://www.ncbi.nlm.nih.gov/pubmed/34114559" TargetMode="External" /><Relationship Type="http://schemas.openxmlformats.org/officeDocument/2006/relationships/hyperlink" Id="rId116"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16/j.cell.2016.08.057" TargetMode="External" /><Relationship Type="http://schemas.openxmlformats.org/officeDocument/2006/relationships/hyperlink" Id="rId119" Target="https://doi.org/10.1016/j.sbi.2013.08.006" TargetMode="External" /><Relationship Type="http://schemas.openxmlformats.org/officeDocument/2006/relationships/hyperlink" Id="rId123" Target="https://doi.org/10.1017/s0033583511000102" TargetMode="External" /><Relationship Type="http://schemas.openxmlformats.org/officeDocument/2006/relationships/hyperlink" Id="rId102" Target="https://doi.org/10.1038/nbt.1592" TargetMode="External" /><Relationship Type="http://schemas.openxmlformats.org/officeDocument/2006/relationships/hyperlink" Id="rId107" Target="https://doi.org/10.1038/nmeth817" TargetMode="External" /><Relationship Type="http://schemas.openxmlformats.org/officeDocument/2006/relationships/hyperlink" Id="rId111" Target="https://doi.org/10.1038/nrm1861" TargetMode="External" /><Relationship Type="http://schemas.openxmlformats.org/officeDocument/2006/relationships/hyperlink" Id="rId140" Target="https://doi.org/10.1093/nar/gkz637" TargetMode="External" /><Relationship Type="http://schemas.openxmlformats.org/officeDocument/2006/relationships/hyperlink" Id="rId132" Target="https://doi.org/10.1101/2020.04.22.053868" TargetMode="External" /><Relationship Type="http://schemas.openxmlformats.org/officeDocument/2006/relationships/hyperlink" Id="rId115" Target="https://doi.org/10.1111/j.1365-2818.1983.tb04225.x" TargetMode="External" /><Relationship Type="http://schemas.openxmlformats.org/officeDocument/2006/relationships/hyperlink" Id="rId145" Target="https://doi.org/10.1186/s12885-018-4178-z" TargetMode="External" /><Relationship Type="http://schemas.openxmlformats.org/officeDocument/2006/relationships/hyperlink" Id="rId127" Target="https://doi.org/10.7554/elife.25648" TargetMode="External" /><Relationship Type="http://schemas.openxmlformats.org/officeDocument/2006/relationships/hyperlink" Id="rId135" Target="https://doi.org/10.7554/elife.68946" TargetMode="External" /><Relationship Type="http://schemas.openxmlformats.org/officeDocument/2006/relationships/hyperlink" Id="rId106" Target="https://doi.org/bbpg4n" TargetMode="External" /><Relationship Type="http://schemas.openxmlformats.org/officeDocument/2006/relationships/hyperlink" Id="rId114" Target="https://doi.org/bdnzmv" TargetMode="External" /><Relationship Type="http://schemas.openxmlformats.org/officeDocument/2006/relationships/hyperlink" Id="rId122" Target="https://doi.org/czj9hr" TargetMode="External" /><Relationship Type="http://schemas.openxmlformats.org/officeDocument/2006/relationships/hyperlink" Id="rId110" Target="https://doi.org/d6d5mq" TargetMode="External" /><Relationship Type="http://schemas.openxmlformats.org/officeDocument/2006/relationships/hyperlink" Id="rId149" Target="https://doi.org/f3r5jr" TargetMode="External" /><Relationship Type="http://schemas.openxmlformats.org/officeDocument/2006/relationships/hyperlink" Id="rId118" Target="https://doi.org/f537jp" TargetMode="External" /><Relationship Type="http://schemas.openxmlformats.org/officeDocument/2006/relationships/hyperlink" Id="rId101" Target="https://doi.org/fshgnc" TargetMode="External" /><Relationship Type="http://schemas.openxmlformats.org/officeDocument/2006/relationships/hyperlink" Id="rId144" Target="https://doi.org/gc87j9" TargetMode="External" /><Relationship Type="http://schemas.openxmlformats.org/officeDocument/2006/relationships/hyperlink" Id="rId134" Target="https://doi.org/gkkc49" TargetMode="External" /><Relationship Type="http://schemas.openxmlformats.org/officeDocument/2006/relationships/hyperlink" Id="rId126" Target="https://doi.org/gnq4q4" TargetMode="External" /><Relationship Type="http://schemas.openxmlformats.org/officeDocument/2006/relationships/hyperlink" Id="rId131" Target="https://doi.org/gpbjfd" TargetMode="External" /><Relationship Type="http://schemas.openxmlformats.org/officeDocument/2006/relationships/hyperlink" Id="rId139"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38fd04bb92cfffb0ea0e0e112da741a0da4b716a"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38fd04bb92cfffb0ea0e0e112da741a0da4b716a/"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4" Target="https://www.ncbi.nlm.nih.gov/pmc/articles/PMC2805705" TargetMode="External" /><Relationship Type="http://schemas.openxmlformats.org/officeDocument/2006/relationships/hyperlink" Id="rId129" Target="https://www.ncbi.nlm.nih.gov/pmc/articles/PMC5453696" TargetMode="External" /><Relationship Type="http://schemas.openxmlformats.org/officeDocument/2006/relationships/hyperlink" Id="rId147" Target="https://www.ncbi.nlm.nih.gov/pmc/articles/PMC5848553" TargetMode="External" /><Relationship Type="http://schemas.openxmlformats.org/officeDocument/2006/relationships/hyperlink" Id="rId142" Target="https://www.ncbi.nlm.nih.gov/pmc/articles/PMC7026650" TargetMode="External" /><Relationship Type="http://schemas.openxmlformats.org/officeDocument/2006/relationships/hyperlink" Id="rId152" Target="https://www.ncbi.nlm.nih.gov/pmc/articles/PMC7360335" TargetMode="External" /><Relationship Type="http://schemas.openxmlformats.org/officeDocument/2006/relationships/hyperlink" Id="rId137" Target="https://www.ncbi.nlm.nih.gov/pmc/articles/PMC8219381" TargetMode="External" /><Relationship Type="http://schemas.openxmlformats.org/officeDocument/2006/relationships/hyperlink" Id="rId108" Target="https://www.ncbi.nlm.nih.gov/pubmed/16299476" TargetMode="External" /><Relationship Type="http://schemas.openxmlformats.org/officeDocument/2006/relationships/hyperlink" Id="rId112" Target="https://www.ncbi.nlm.nih.gov/pubmed/16482091" TargetMode="External" /><Relationship Type="http://schemas.openxmlformats.org/officeDocument/2006/relationships/hyperlink" Id="rId103" Target="https://www.ncbi.nlm.nih.gov/pubmed/20010810" TargetMode="External" /><Relationship Type="http://schemas.openxmlformats.org/officeDocument/2006/relationships/hyperlink" Id="rId124" Target="https://www.ncbi.nlm.nih.gov/pubmed/22082691" TargetMode="External" /><Relationship Type="http://schemas.openxmlformats.org/officeDocument/2006/relationships/hyperlink" Id="rId120" Target="https://www.ncbi.nlm.nih.gov/pubmed/24090931" TargetMode="External" /><Relationship Type="http://schemas.openxmlformats.org/officeDocument/2006/relationships/hyperlink" Id="rId151" Target="https://www.ncbi.nlm.nih.gov/pubmed/27641501" TargetMode="External" /><Relationship Type="http://schemas.openxmlformats.org/officeDocument/2006/relationships/hyperlink" Id="rId128" Target="https://www.ncbi.nlm.nih.gov/pubmed/28467302" TargetMode="External" /><Relationship Type="http://schemas.openxmlformats.org/officeDocument/2006/relationships/hyperlink" Id="rId146" Target="https://www.ncbi.nlm.nih.gov/pubmed/29530001" TargetMode="External" /><Relationship Type="http://schemas.openxmlformats.org/officeDocument/2006/relationships/hyperlink" Id="rId141" Target="https://www.ncbi.nlm.nih.gov/pubmed/31350888" TargetMode="External" /><Relationship Type="http://schemas.openxmlformats.org/officeDocument/2006/relationships/hyperlink" Id="rId136" Target="https://www.ncbi.nlm.nih.gov/pubmed/34114559" TargetMode="External" /><Relationship Type="http://schemas.openxmlformats.org/officeDocument/2006/relationships/hyperlink" Id="rId116"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2022-04-14T10:32:25Z</dcterms:created>
  <dcterms:modified xsi:type="dcterms:W3CDTF">2022-04-14T10:32:25Z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